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C" w:rsidRDefault="0092494C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D218C" w:rsidRDefault="00897B73" w:rsidP="00897B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</w:t>
      </w:r>
      <w:r w:rsidRPr="00897B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тчет об оценке налоговых расходов Мурманской области </w:t>
      </w:r>
    </w:p>
    <w:p w:rsidR="007D218C" w:rsidRDefault="00897B73" w:rsidP="00897B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97B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 </w:t>
      </w:r>
      <w:r w:rsidR="00DD3B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202</w:t>
      </w:r>
      <w:r w:rsidR="00F951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897B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год, оценке налоговых расходов Мурманской области </w:t>
      </w:r>
    </w:p>
    <w:p w:rsidR="00897B73" w:rsidRDefault="00897B73" w:rsidP="00897B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97B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</w:t>
      </w:r>
      <w:r w:rsidR="00DD3B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202</w:t>
      </w:r>
      <w:r w:rsidR="00F951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DD3B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97B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год и </w:t>
      </w:r>
      <w:r w:rsidR="007D21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</w:t>
      </w:r>
      <w:r w:rsidRPr="00897B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плановый период</w:t>
      </w:r>
      <w:r w:rsidR="00892E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202</w:t>
      </w:r>
      <w:r w:rsidR="00F951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892E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202</w:t>
      </w:r>
      <w:r w:rsidR="00F9512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892E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годов</w:t>
      </w:r>
    </w:p>
    <w:p w:rsidR="00897B73" w:rsidRDefault="00897B73" w:rsidP="00897B7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</w:rPr>
      </w:pPr>
    </w:p>
    <w:p w:rsidR="00064186" w:rsidRDefault="00875B07" w:rsidP="00E54B61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A755F">
        <w:rPr>
          <w:rFonts w:ascii="Times New Roman" w:hAnsi="Times New Roman" w:cs="Times New Roman"/>
          <w:sz w:val="27"/>
          <w:szCs w:val="27"/>
        </w:rPr>
        <w:t xml:space="preserve">Оценка налоговых расходов </w:t>
      </w:r>
      <w:r w:rsidR="007D218C">
        <w:rPr>
          <w:rFonts w:ascii="Times New Roman" w:hAnsi="Times New Roman" w:cs="Times New Roman"/>
          <w:sz w:val="27"/>
          <w:szCs w:val="27"/>
        </w:rPr>
        <w:t xml:space="preserve">Мурманской области </w:t>
      </w:r>
      <w:r w:rsidRPr="00CA755F">
        <w:rPr>
          <w:rFonts w:ascii="Times New Roman" w:hAnsi="Times New Roman" w:cs="Times New Roman"/>
          <w:sz w:val="27"/>
          <w:szCs w:val="27"/>
        </w:rPr>
        <w:t>за 20</w:t>
      </w:r>
      <w:r w:rsidR="00682E77" w:rsidRPr="00CA755F">
        <w:rPr>
          <w:rFonts w:ascii="Times New Roman" w:hAnsi="Times New Roman" w:cs="Times New Roman"/>
          <w:sz w:val="27"/>
          <w:szCs w:val="27"/>
        </w:rPr>
        <w:t>2</w:t>
      </w:r>
      <w:r w:rsidR="00FC5B32">
        <w:rPr>
          <w:rFonts w:ascii="Times New Roman" w:hAnsi="Times New Roman" w:cs="Times New Roman"/>
          <w:sz w:val="27"/>
          <w:szCs w:val="27"/>
        </w:rPr>
        <w:t>2</w:t>
      </w:r>
      <w:r w:rsidRPr="00CA755F">
        <w:rPr>
          <w:rFonts w:ascii="Times New Roman" w:hAnsi="Times New Roman" w:cs="Times New Roman"/>
          <w:sz w:val="27"/>
          <w:szCs w:val="27"/>
        </w:rPr>
        <w:t xml:space="preserve"> год проведена в соответствии </w:t>
      </w:r>
      <w:r w:rsidR="00064186" w:rsidRPr="00CA755F">
        <w:rPr>
          <w:rFonts w:ascii="Times New Roman" w:hAnsi="Times New Roman" w:cs="Times New Roman"/>
          <w:sz w:val="27"/>
          <w:szCs w:val="27"/>
        </w:rPr>
        <w:t>с постановлением Правительства Российской Федерации от 22.06.2019 № 796 «Об</w:t>
      </w:r>
      <w:r w:rsidR="007D218C">
        <w:rPr>
          <w:rFonts w:ascii="Times New Roman" w:hAnsi="Times New Roman" w:cs="Times New Roman"/>
          <w:sz w:val="27"/>
          <w:szCs w:val="27"/>
        </w:rPr>
        <w:t> </w:t>
      </w:r>
      <w:r w:rsidR="00064186" w:rsidRPr="00CA755F">
        <w:rPr>
          <w:rFonts w:ascii="Times New Roman" w:hAnsi="Times New Roman" w:cs="Times New Roman"/>
          <w:sz w:val="27"/>
          <w:szCs w:val="27"/>
        </w:rPr>
        <w:t>общих требованиях к оценке налоговых расходов субъектов Российской Федерации и муниципальных образований», Законом Мурманской области от 06.12.2019 № 2435-01-ЗМО «Об оценке эффективности</w:t>
      </w:r>
      <w:r w:rsidR="00064186" w:rsidRPr="00064186">
        <w:rPr>
          <w:rFonts w:ascii="Times New Roman" w:hAnsi="Times New Roman" w:cs="Times New Roman"/>
          <w:sz w:val="27"/>
          <w:szCs w:val="27"/>
        </w:rPr>
        <w:t xml:space="preserve"> налоговых расходов Мурманской области», постановлением Правительства Мурманской области от 03.12.2019 № 554-ПП «Об утверждении порядка оценки налоговых расходов Мурманской области и формирования перечня налоговых расходов Мурманской области».</w:t>
      </w:r>
    </w:p>
    <w:p w:rsidR="007D218C" w:rsidRDefault="007D218C" w:rsidP="00E54B61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целях оценки налоговых расходов Мурманской области сформирован перечень налоговых расходов Мурманской области, </w:t>
      </w:r>
      <w:r w:rsidRPr="007D218C">
        <w:rPr>
          <w:rFonts w:ascii="Times New Roman" w:hAnsi="Times New Roman" w:cs="Times New Roman"/>
          <w:sz w:val="27"/>
          <w:szCs w:val="27"/>
        </w:rPr>
        <w:t>содер</w:t>
      </w:r>
      <w:r>
        <w:rPr>
          <w:rFonts w:ascii="Times New Roman" w:hAnsi="Times New Roman" w:cs="Times New Roman"/>
          <w:sz w:val="27"/>
          <w:szCs w:val="27"/>
        </w:rPr>
        <w:t>жащий</w:t>
      </w:r>
      <w:r w:rsidRPr="007D218C">
        <w:rPr>
          <w:rFonts w:ascii="Times New Roman" w:hAnsi="Times New Roman" w:cs="Times New Roman"/>
          <w:sz w:val="27"/>
          <w:szCs w:val="27"/>
        </w:rPr>
        <w:t xml:space="preserve"> сведения о распределении налоговых расходов Мурманской области в соответствии с целями государствен</w:t>
      </w:r>
      <w:r>
        <w:rPr>
          <w:rFonts w:ascii="Times New Roman" w:hAnsi="Times New Roman" w:cs="Times New Roman"/>
          <w:sz w:val="27"/>
          <w:szCs w:val="27"/>
        </w:rPr>
        <w:t>ных программ Мурманской области (</w:t>
      </w:r>
      <w:r w:rsidRPr="007D218C">
        <w:rPr>
          <w:rFonts w:ascii="Times New Roman" w:hAnsi="Times New Roman" w:cs="Times New Roman"/>
          <w:sz w:val="27"/>
          <w:szCs w:val="27"/>
        </w:rPr>
        <w:t>структурных элементов государственных программ Мурманской области</w:t>
      </w:r>
      <w:r>
        <w:rPr>
          <w:rFonts w:ascii="Times New Roman" w:hAnsi="Times New Roman" w:cs="Times New Roman"/>
          <w:sz w:val="27"/>
          <w:szCs w:val="27"/>
        </w:rPr>
        <w:t>)</w:t>
      </w:r>
      <w:r w:rsidRPr="007D218C">
        <w:rPr>
          <w:rFonts w:ascii="Times New Roman" w:hAnsi="Times New Roman" w:cs="Times New Roman"/>
          <w:sz w:val="27"/>
          <w:szCs w:val="27"/>
        </w:rPr>
        <w:t>, а также о кураторах налоговых расходов Мурманской области</w:t>
      </w:r>
      <w:r>
        <w:rPr>
          <w:rFonts w:ascii="Times New Roman" w:hAnsi="Times New Roman" w:cs="Times New Roman"/>
          <w:sz w:val="27"/>
          <w:szCs w:val="27"/>
        </w:rPr>
        <w:t xml:space="preserve">, и размещен </w:t>
      </w:r>
      <w:r w:rsidRPr="007D218C">
        <w:rPr>
          <w:rFonts w:ascii="Times New Roman" w:hAnsi="Times New Roman" w:cs="Times New Roman"/>
          <w:sz w:val="27"/>
          <w:szCs w:val="27"/>
        </w:rPr>
        <w:t>на сайте Министерства</w:t>
      </w:r>
      <w:r>
        <w:rPr>
          <w:rFonts w:ascii="Times New Roman" w:hAnsi="Times New Roman" w:cs="Times New Roman"/>
          <w:sz w:val="27"/>
          <w:szCs w:val="27"/>
        </w:rPr>
        <w:t xml:space="preserve"> развития Арктики и экономики Мурманской области в разделе «Направления деятельности / Налоговая политика». </w:t>
      </w:r>
    </w:p>
    <w:p w:rsidR="007D218C" w:rsidRPr="00064186" w:rsidRDefault="007D218C" w:rsidP="00E54B61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Кураторами налоговых расходов являются исполнительные органы Мурманской области, ответственные в соответствии с полномочиями, </w:t>
      </w:r>
      <w:r w:rsidRPr="007D218C">
        <w:rPr>
          <w:rFonts w:ascii="Times New Roman" w:hAnsi="Times New Roman" w:cs="Times New Roman"/>
          <w:sz w:val="27"/>
          <w:szCs w:val="27"/>
        </w:rPr>
        <w:t xml:space="preserve">установленными нормативными правовыми </w:t>
      </w:r>
      <w:r>
        <w:rPr>
          <w:rFonts w:ascii="Times New Roman" w:hAnsi="Times New Roman" w:cs="Times New Roman"/>
          <w:sz w:val="27"/>
          <w:szCs w:val="27"/>
        </w:rPr>
        <w:t xml:space="preserve">Правительства Мурманской области </w:t>
      </w:r>
      <w:r w:rsidRPr="007D218C">
        <w:rPr>
          <w:rFonts w:ascii="Times New Roman" w:hAnsi="Times New Roman" w:cs="Times New Roman"/>
          <w:sz w:val="27"/>
          <w:szCs w:val="27"/>
        </w:rPr>
        <w:t xml:space="preserve">за достижение соответствующих налоговому расходу целей государственной программы </w:t>
      </w:r>
      <w:r>
        <w:rPr>
          <w:rFonts w:ascii="Times New Roman" w:hAnsi="Times New Roman" w:cs="Times New Roman"/>
          <w:sz w:val="27"/>
          <w:szCs w:val="27"/>
        </w:rPr>
        <w:t>Мурманской области (ее структурных элементов).</w:t>
      </w:r>
    </w:p>
    <w:p w:rsidR="007D218C" w:rsidRDefault="00B057BC" w:rsidP="00E54B61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</w:t>
      </w:r>
      <w:r w:rsidR="00E0560C">
        <w:rPr>
          <w:rFonts w:ascii="Times New Roman" w:hAnsi="Times New Roman" w:cs="Times New Roman"/>
          <w:sz w:val="27"/>
          <w:szCs w:val="27"/>
        </w:rPr>
        <w:t>сходные данные</w:t>
      </w:r>
      <w:r>
        <w:rPr>
          <w:rFonts w:ascii="Times New Roman" w:hAnsi="Times New Roman" w:cs="Times New Roman"/>
          <w:sz w:val="27"/>
          <w:szCs w:val="27"/>
        </w:rPr>
        <w:t xml:space="preserve"> для проведения оценки доведены </w:t>
      </w:r>
      <w:r w:rsidR="00875B07" w:rsidRPr="00067B23">
        <w:rPr>
          <w:rFonts w:ascii="Times New Roman" w:hAnsi="Times New Roman" w:cs="Times New Roman"/>
          <w:sz w:val="27"/>
          <w:szCs w:val="27"/>
        </w:rPr>
        <w:t>Управлением ФНС</w:t>
      </w:r>
      <w:r w:rsidR="00B34CD2">
        <w:rPr>
          <w:rFonts w:ascii="Times New Roman" w:hAnsi="Times New Roman" w:cs="Times New Roman"/>
          <w:sz w:val="27"/>
          <w:szCs w:val="27"/>
        </w:rPr>
        <w:t xml:space="preserve"> России по Мурманской области </w:t>
      </w:r>
      <w:r w:rsidR="00B272FD">
        <w:rPr>
          <w:rFonts w:ascii="Times New Roman" w:hAnsi="Times New Roman" w:cs="Times New Roman"/>
          <w:sz w:val="27"/>
          <w:szCs w:val="27"/>
        </w:rPr>
        <w:t xml:space="preserve">(в том числе уточненные сведения за </w:t>
      </w:r>
      <w:r w:rsidR="009727E9">
        <w:rPr>
          <w:rFonts w:ascii="Times New Roman" w:hAnsi="Times New Roman" w:cs="Times New Roman"/>
          <w:sz w:val="27"/>
          <w:szCs w:val="27"/>
        </w:rPr>
        <w:t xml:space="preserve">отчетный год, </w:t>
      </w:r>
      <w:r w:rsidR="00B272FD">
        <w:rPr>
          <w:rFonts w:ascii="Times New Roman" w:hAnsi="Times New Roman" w:cs="Times New Roman"/>
          <w:sz w:val="27"/>
          <w:szCs w:val="27"/>
        </w:rPr>
        <w:t>периоды, предшествующие отчетному году)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75B07" w:rsidRDefault="00B057BC" w:rsidP="007D218C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6DFD">
        <w:rPr>
          <w:rFonts w:ascii="Times New Roman" w:hAnsi="Times New Roman" w:cs="Times New Roman"/>
          <w:sz w:val="27"/>
          <w:szCs w:val="27"/>
        </w:rPr>
        <w:t xml:space="preserve">Кроме того, </w:t>
      </w:r>
      <w:r w:rsidR="007D218C">
        <w:rPr>
          <w:rFonts w:ascii="Times New Roman" w:hAnsi="Times New Roman" w:cs="Times New Roman"/>
          <w:sz w:val="27"/>
          <w:szCs w:val="27"/>
        </w:rPr>
        <w:t xml:space="preserve">отчет сформирован на основании выводов, представленных кураторами налоговых расходов по результатам проведенной оценки эффективности налоговых расходов. </w:t>
      </w:r>
      <w:r w:rsidR="00875B07">
        <w:rPr>
          <w:rFonts w:ascii="Times New Roman" w:hAnsi="Times New Roman" w:cs="Times New Roman"/>
          <w:sz w:val="27"/>
          <w:szCs w:val="27"/>
        </w:rPr>
        <w:t xml:space="preserve">При оценке эффективности </w:t>
      </w:r>
      <w:r w:rsidR="00875B07" w:rsidRPr="008A1245">
        <w:rPr>
          <w:rFonts w:ascii="Times New Roman" w:hAnsi="Times New Roman" w:cs="Times New Roman"/>
          <w:sz w:val="27"/>
          <w:szCs w:val="27"/>
        </w:rPr>
        <w:t xml:space="preserve">инвестиционных </w:t>
      </w:r>
      <w:r w:rsidR="00875B07">
        <w:rPr>
          <w:rFonts w:ascii="Times New Roman" w:hAnsi="Times New Roman" w:cs="Times New Roman"/>
          <w:sz w:val="27"/>
          <w:szCs w:val="27"/>
        </w:rPr>
        <w:t>налоговых льгот приняты во внимание положительные прогнозные значения показателей экономической, бюджетной и</w:t>
      </w:r>
      <w:r w:rsidR="00B34CD2">
        <w:rPr>
          <w:rFonts w:ascii="Times New Roman" w:hAnsi="Times New Roman" w:cs="Times New Roman"/>
          <w:sz w:val="27"/>
          <w:szCs w:val="27"/>
        </w:rPr>
        <w:t>ли</w:t>
      </w:r>
      <w:r w:rsidR="00875B07">
        <w:rPr>
          <w:rFonts w:ascii="Times New Roman" w:hAnsi="Times New Roman" w:cs="Times New Roman"/>
          <w:sz w:val="27"/>
          <w:szCs w:val="27"/>
        </w:rPr>
        <w:t xml:space="preserve"> социальной эффективности </w:t>
      </w:r>
      <w:r w:rsidR="00875B07" w:rsidRPr="008A1245">
        <w:rPr>
          <w:rFonts w:ascii="Times New Roman" w:hAnsi="Times New Roman" w:cs="Times New Roman"/>
          <w:sz w:val="27"/>
          <w:szCs w:val="27"/>
        </w:rPr>
        <w:t>за расчетный период реализации проектов.</w:t>
      </w:r>
    </w:p>
    <w:p w:rsidR="00136658" w:rsidRPr="00067B23" w:rsidRDefault="00015292" w:rsidP="00E54B61">
      <w:pPr>
        <w:autoSpaceDE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территории Мурманской области р</w:t>
      </w:r>
      <w:r w:rsidR="00136658" w:rsidRPr="00067B23">
        <w:rPr>
          <w:rFonts w:ascii="Times New Roman" w:hAnsi="Times New Roman" w:cs="Times New Roman"/>
          <w:sz w:val="27"/>
          <w:szCs w:val="27"/>
        </w:rPr>
        <w:t>егиональные налоговые льготы</w:t>
      </w:r>
      <w:r w:rsidR="0051131B">
        <w:rPr>
          <w:rFonts w:ascii="Times New Roman" w:hAnsi="Times New Roman" w:cs="Times New Roman"/>
          <w:sz w:val="27"/>
          <w:szCs w:val="27"/>
        </w:rPr>
        <w:t xml:space="preserve"> </w:t>
      </w:r>
      <w:r w:rsidR="00B057BC">
        <w:rPr>
          <w:rFonts w:ascii="Times New Roman" w:hAnsi="Times New Roman" w:cs="Times New Roman"/>
          <w:sz w:val="27"/>
          <w:szCs w:val="27"/>
        </w:rPr>
        <w:t xml:space="preserve">предусмотрены </w:t>
      </w:r>
      <w:r w:rsidR="00136658" w:rsidRPr="00067B23">
        <w:rPr>
          <w:rFonts w:ascii="Times New Roman" w:hAnsi="Times New Roman" w:cs="Times New Roman"/>
          <w:sz w:val="27"/>
          <w:szCs w:val="27"/>
        </w:rPr>
        <w:t>законами Мурманской области:</w:t>
      </w:r>
    </w:p>
    <w:p w:rsidR="00136658" w:rsidRPr="00067B23" w:rsidRDefault="00136658" w:rsidP="00E54B61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</w:t>
      </w:r>
      <w:r w:rsidR="001F7FAA">
        <w:rPr>
          <w:rFonts w:ascii="Times New Roman" w:hAnsi="Times New Roman" w:cs="Times New Roman"/>
          <w:sz w:val="27"/>
          <w:szCs w:val="27"/>
        </w:rPr>
        <w:t> </w:t>
      </w:r>
      <w:r w:rsidRPr="00067B23">
        <w:rPr>
          <w:rFonts w:ascii="Times New Roman" w:hAnsi="Times New Roman" w:cs="Times New Roman"/>
          <w:sz w:val="27"/>
          <w:szCs w:val="27"/>
        </w:rPr>
        <w:t>от 09.11.2001 № 304-01-ЗМО «О</w:t>
      </w:r>
      <w:r w:rsidR="00843319" w:rsidRPr="00067B23">
        <w:rPr>
          <w:rFonts w:ascii="Times New Roman" w:hAnsi="Times New Roman" w:cs="Times New Roman"/>
          <w:sz w:val="27"/>
          <w:szCs w:val="27"/>
        </w:rPr>
        <w:t> </w:t>
      </w:r>
      <w:r w:rsidRPr="00067B23">
        <w:rPr>
          <w:rFonts w:ascii="Times New Roman" w:hAnsi="Times New Roman" w:cs="Times New Roman"/>
          <w:sz w:val="27"/>
          <w:szCs w:val="27"/>
        </w:rPr>
        <w:t>ставке налога на прибыль организаций, зачисляемого в бюджет Мурманской области, для отдельных категорий налогоплательщиков»</w:t>
      </w:r>
      <w:r w:rsidR="00015292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Pr="00067B23">
        <w:rPr>
          <w:rFonts w:ascii="Times New Roman" w:hAnsi="Times New Roman" w:cs="Times New Roman"/>
          <w:sz w:val="27"/>
          <w:szCs w:val="27"/>
        </w:rPr>
        <w:t>;</w:t>
      </w:r>
    </w:p>
    <w:p w:rsidR="00136658" w:rsidRPr="00067B23" w:rsidRDefault="001F7FAA" w:rsidP="00E54B61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 </w:t>
      </w:r>
      <w:r w:rsidR="001233F4" w:rsidRPr="00067B23">
        <w:rPr>
          <w:rFonts w:ascii="Times New Roman" w:hAnsi="Times New Roman" w:cs="Times New Roman"/>
          <w:sz w:val="27"/>
          <w:szCs w:val="27"/>
        </w:rPr>
        <w:t>о</w:t>
      </w:r>
      <w:r w:rsidR="00136658" w:rsidRPr="00067B23">
        <w:rPr>
          <w:rFonts w:ascii="Times New Roman" w:hAnsi="Times New Roman" w:cs="Times New Roman"/>
          <w:sz w:val="27"/>
          <w:szCs w:val="27"/>
        </w:rPr>
        <w:t>т 26.11.2003 № 446-01-ЗМО</w:t>
      </w:r>
      <w:r w:rsidR="0051131B">
        <w:rPr>
          <w:rFonts w:ascii="Times New Roman" w:hAnsi="Times New Roman" w:cs="Times New Roman"/>
          <w:sz w:val="27"/>
          <w:szCs w:val="27"/>
        </w:rPr>
        <w:t xml:space="preserve"> </w:t>
      </w:r>
      <w:r w:rsidR="00136658" w:rsidRPr="00067B23">
        <w:rPr>
          <w:rFonts w:ascii="Times New Roman" w:hAnsi="Times New Roman" w:cs="Times New Roman"/>
          <w:sz w:val="27"/>
          <w:szCs w:val="27"/>
        </w:rPr>
        <w:t>«О</w:t>
      </w:r>
      <w:r w:rsidR="00843319" w:rsidRPr="00067B23">
        <w:rPr>
          <w:rFonts w:ascii="Times New Roman" w:hAnsi="Times New Roman" w:cs="Times New Roman"/>
          <w:sz w:val="27"/>
          <w:szCs w:val="27"/>
        </w:rPr>
        <w:t> </w:t>
      </w:r>
      <w:r w:rsidR="00136658" w:rsidRPr="00067B23">
        <w:rPr>
          <w:rFonts w:ascii="Times New Roman" w:hAnsi="Times New Roman" w:cs="Times New Roman"/>
          <w:sz w:val="27"/>
          <w:szCs w:val="27"/>
        </w:rPr>
        <w:t>налоге на имущество организаций»</w:t>
      </w:r>
      <w:r w:rsidR="00015292">
        <w:rPr>
          <w:rFonts w:ascii="Times New Roman" w:hAnsi="Times New Roman" w:cs="Times New Roman"/>
          <w:sz w:val="27"/>
          <w:szCs w:val="27"/>
        </w:rPr>
        <w:t xml:space="preserve"> (с</w:t>
      </w:r>
      <w:r w:rsidR="007D218C">
        <w:rPr>
          <w:rFonts w:ascii="Times New Roman" w:hAnsi="Times New Roman" w:cs="Times New Roman"/>
          <w:sz w:val="27"/>
          <w:szCs w:val="27"/>
        </w:rPr>
        <w:t> </w:t>
      </w:r>
      <w:r w:rsidR="00015292">
        <w:rPr>
          <w:rFonts w:ascii="Times New Roman" w:hAnsi="Times New Roman" w:cs="Times New Roman"/>
          <w:sz w:val="27"/>
          <w:szCs w:val="27"/>
        </w:rPr>
        <w:t>изменениями)</w:t>
      </w:r>
      <w:r w:rsidR="00136658" w:rsidRPr="00067B23">
        <w:rPr>
          <w:rFonts w:ascii="Times New Roman" w:hAnsi="Times New Roman" w:cs="Times New Roman"/>
          <w:sz w:val="27"/>
          <w:szCs w:val="27"/>
        </w:rPr>
        <w:t>;</w:t>
      </w:r>
    </w:p>
    <w:p w:rsidR="00136658" w:rsidRPr="00067B23" w:rsidRDefault="001233F4" w:rsidP="00E54B61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</w:t>
      </w:r>
      <w:r w:rsidR="001F7FAA">
        <w:rPr>
          <w:rFonts w:ascii="Times New Roman" w:hAnsi="Times New Roman" w:cs="Times New Roman"/>
          <w:sz w:val="27"/>
          <w:szCs w:val="27"/>
        </w:rPr>
        <w:t> </w:t>
      </w:r>
      <w:r w:rsidRPr="00067B23">
        <w:rPr>
          <w:rFonts w:ascii="Times New Roman" w:hAnsi="Times New Roman" w:cs="Times New Roman"/>
          <w:sz w:val="27"/>
          <w:szCs w:val="27"/>
        </w:rPr>
        <w:t>о</w:t>
      </w:r>
      <w:r w:rsidR="00843319" w:rsidRPr="00067B23">
        <w:rPr>
          <w:rFonts w:ascii="Times New Roman" w:hAnsi="Times New Roman" w:cs="Times New Roman"/>
          <w:sz w:val="27"/>
          <w:szCs w:val="27"/>
        </w:rPr>
        <w:t>т 18.11.2002 № </w:t>
      </w:r>
      <w:r w:rsidR="00136658" w:rsidRPr="00067B23">
        <w:rPr>
          <w:rFonts w:ascii="Times New Roman" w:hAnsi="Times New Roman" w:cs="Times New Roman"/>
          <w:sz w:val="27"/>
          <w:szCs w:val="27"/>
        </w:rPr>
        <w:t>368-01-ЗМО</w:t>
      </w:r>
      <w:r w:rsidR="0051131B">
        <w:rPr>
          <w:rFonts w:ascii="Times New Roman" w:hAnsi="Times New Roman" w:cs="Times New Roman"/>
          <w:sz w:val="27"/>
          <w:szCs w:val="27"/>
        </w:rPr>
        <w:t xml:space="preserve"> </w:t>
      </w:r>
      <w:r w:rsidR="00136658" w:rsidRPr="00067B23">
        <w:rPr>
          <w:rFonts w:ascii="Times New Roman" w:hAnsi="Times New Roman" w:cs="Times New Roman"/>
          <w:sz w:val="27"/>
          <w:szCs w:val="27"/>
        </w:rPr>
        <w:t>«О транспортном налоге»</w:t>
      </w:r>
      <w:r w:rsidR="009727E9">
        <w:rPr>
          <w:rFonts w:ascii="Times New Roman" w:hAnsi="Times New Roman" w:cs="Times New Roman"/>
          <w:sz w:val="27"/>
          <w:szCs w:val="27"/>
        </w:rPr>
        <w:t xml:space="preserve"> </w:t>
      </w:r>
      <w:r w:rsidR="00015292">
        <w:rPr>
          <w:rFonts w:ascii="Times New Roman" w:hAnsi="Times New Roman" w:cs="Times New Roman"/>
          <w:sz w:val="27"/>
          <w:szCs w:val="27"/>
        </w:rPr>
        <w:t>(с изменениями)</w:t>
      </w:r>
      <w:r w:rsidR="00015292" w:rsidRPr="00067B23">
        <w:rPr>
          <w:rFonts w:ascii="Times New Roman" w:hAnsi="Times New Roman" w:cs="Times New Roman"/>
          <w:sz w:val="27"/>
          <w:szCs w:val="27"/>
        </w:rPr>
        <w:t>;</w:t>
      </w:r>
    </w:p>
    <w:p w:rsidR="00015292" w:rsidRPr="00067B23" w:rsidRDefault="00136658" w:rsidP="00E54B61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67B23">
        <w:rPr>
          <w:rFonts w:ascii="Times New Roman" w:hAnsi="Times New Roman" w:cs="Times New Roman"/>
          <w:sz w:val="27"/>
          <w:szCs w:val="27"/>
        </w:rPr>
        <w:t>-</w:t>
      </w:r>
      <w:r w:rsidR="001F7FAA">
        <w:rPr>
          <w:rFonts w:ascii="Times New Roman" w:hAnsi="Times New Roman" w:cs="Times New Roman"/>
          <w:sz w:val="27"/>
          <w:szCs w:val="27"/>
        </w:rPr>
        <w:t> </w:t>
      </w:r>
      <w:r w:rsidRPr="00067B23">
        <w:rPr>
          <w:rFonts w:ascii="Times New Roman" w:hAnsi="Times New Roman" w:cs="Times New Roman"/>
          <w:sz w:val="27"/>
          <w:szCs w:val="27"/>
        </w:rPr>
        <w:t>от</w:t>
      </w:r>
      <w:r w:rsidR="001F7FAA">
        <w:rPr>
          <w:rFonts w:ascii="Times New Roman" w:hAnsi="Times New Roman" w:cs="Times New Roman"/>
          <w:sz w:val="27"/>
          <w:szCs w:val="27"/>
        </w:rPr>
        <w:t> </w:t>
      </w:r>
      <w:r w:rsidRPr="00067B23">
        <w:rPr>
          <w:rFonts w:ascii="Times New Roman" w:hAnsi="Times New Roman" w:cs="Times New Roman"/>
          <w:sz w:val="27"/>
          <w:szCs w:val="27"/>
        </w:rPr>
        <w:t>03.03.2009 № 1075-01-ЗМО «Об  установлении дифференцированных налоговых ставок в зависимости от категорий налогоплательщиков по налогу, взимаемому в связи с применением упрощенной системы налогообложения»</w:t>
      </w:r>
      <w:r w:rsidR="0051131B">
        <w:rPr>
          <w:rFonts w:ascii="Times New Roman" w:hAnsi="Times New Roman" w:cs="Times New Roman"/>
          <w:sz w:val="27"/>
          <w:szCs w:val="27"/>
        </w:rPr>
        <w:t xml:space="preserve"> </w:t>
      </w:r>
      <w:r w:rsidR="00015292">
        <w:rPr>
          <w:rFonts w:ascii="Times New Roman" w:hAnsi="Times New Roman" w:cs="Times New Roman"/>
          <w:sz w:val="27"/>
          <w:szCs w:val="27"/>
        </w:rPr>
        <w:t>(с</w:t>
      </w:r>
      <w:r w:rsidR="007D218C">
        <w:rPr>
          <w:rFonts w:ascii="Times New Roman" w:hAnsi="Times New Roman" w:cs="Times New Roman"/>
          <w:sz w:val="27"/>
          <w:szCs w:val="27"/>
        </w:rPr>
        <w:t> </w:t>
      </w:r>
      <w:r w:rsidR="00015292">
        <w:rPr>
          <w:rFonts w:ascii="Times New Roman" w:hAnsi="Times New Roman" w:cs="Times New Roman"/>
          <w:sz w:val="27"/>
          <w:szCs w:val="27"/>
        </w:rPr>
        <w:t>изменениями)</w:t>
      </w:r>
      <w:r w:rsidR="00015292" w:rsidRPr="00067B23">
        <w:rPr>
          <w:rFonts w:ascii="Times New Roman" w:hAnsi="Times New Roman" w:cs="Times New Roman"/>
          <w:sz w:val="27"/>
          <w:szCs w:val="27"/>
        </w:rPr>
        <w:t>;</w:t>
      </w:r>
    </w:p>
    <w:p w:rsidR="001F7FAA" w:rsidRDefault="001F7FAA" w:rsidP="00E54B61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 </w:t>
      </w:r>
      <w:r w:rsidRPr="001F7FAA">
        <w:rPr>
          <w:rFonts w:ascii="Times New Roman" w:hAnsi="Times New Roman" w:cs="Times New Roman"/>
          <w:sz w:val="27"/>
          <w:szCs w:val="27"/>
        </w:rPr>
        <w:t>от</w:t>
      </w:r>
      <w:r>
        <w:rPr>
          <w:rFonts w:ascii="Times New Roman" w:hAnsi="Times New Roman" w:cs="Times New Roman"/>
          <w:sz w:val="27"/>
          <w:szCs w:val="27"/>
        </w:rPr>
        <w:t> 08.10.2015 № 1901-01-ЗМО «</w:t>
      </w:r>
      <w:r w:rsidRPr="001F7FAA">
        <w:rPr>
          <w:rFonts w:ascii="Times New Roman" w:hAnsi="Times New Roman" w:cs="Times New Roman"/>
          <w:sz w:val="27"/>
          <w:szCs w:val="27"/>
        </w:rPr>
        <w:t>Об установлении налоговой ставки в размере 0 процентов для отдельных категорий налогоплательщиков при применении упрощенной системы налогообложения и (или) патентной системы налогообложения на территории Мурманской области</w:t>
      </w:r>
      <w:r>
        <w:rPr>
          <w:rFonts w:ascii="Times New Roman" w:hAnsi="Times New Roman" w:cs="Times New Roman"/>
          <w:sz w:val="27"/>
          <w:szCs w:val="27"/>
        </w:rPr>
        <w:t>»</w:t>
      </w:r>
      <w:r w:rsidR="004718D6">
        <w:rPr>
          <w:rFonts w:ascii="Times New Roman" w:hAnsi="Times New Roman" w:cs="Times New Roman"/>
          <w:sz w:val="27"/>
          <w:szCs w:val="27"/>
        </w:rPr>
        <w:t xml:space="preserve"> (с изменениями)</w:t>
      </w:r>
      <w:r w:rsidR="009727E9">
        <w:rPr>
          <w:rFonts w:ascii="Times New Roman" w:hAnsi="Times New Roman" w:cs="Times New Roman"/>
          <w:sz w:val="27"/>
          <w:szCs w:val="27"/>
        </w:rPr>
        <w:t>;</w:t>
      </w:r>
    </w:p>
    <w:p w:rsidR="009727E9" w:rsidRPr="00067B23" w:rsidRDefault="009727E9" w:rsidP="00EE71DF">
      <w:pPr>
        <w:autoSpaceDE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EE71DF" w:rsidRPr="00EE71DF">
        <w:rPr>
          <w:rFonts w:ascii="Times New Roman" w:hAnsi="Times New Roman" w:cs="Times New Roman"/>
          <w:sz w:val="27"/>
          <w:szCs w:val="27"/>
        </w:rPr>
        <w:t xml:space="preserve">от 29.03.2022 </w:t>
      </w:r>
      <w:r w:rsidR="00EE71DF">
        <w:rPr>
          <w:rFonts w:ascii="Times New Roman" w:hAnsi="Times New Roman" w:cs="Times New Roman"/>
          <w:sz w:val="27"/>
          <w:szCs w:val="27"/>
        </w:rPr>
        <w:t>№</w:t>
      </w:r>
      <w:r w:rsidR="00EE71DF" w:rsidRPr="00EE71DF">
        <w:rPr>
          <w:rFonts w:ascii="Times New Roman" w:hAnsi="Times New Roman" w:cs="Times New Roman"/>
          <w:sz w:val="27"/>
          <w:szCs w:val="27"/>
        </w:rPr>
        <w:t xml:space="preserve"> 2744-01-ЗМО</w:t>
      </w:r>
      <w:r w:rsidR="00EE71DF">
        <w:rPr>
          <w:rFonts w:ascii="Times New Roman" w:hAnsi="Times New Roman" w:cs="Times New Roman"/>
          <w:sz w:val="27"/>
          <w:szCs w:val="27"/>
        </w:rPr>
        <w:t xml:space="preserve"> «</w:t>
      </w:r>
      <w:r w:rsidR="00EE71DF" w:rsidRPr="00EE71DF">
        <w:rPr>
          <w:rFonts w:ascii="Times New Roman" w:hAnsi="Times New Roman" w:cs="Times New Roman"/>
          <w:sz w:val="27"/>
          <w:szCs w:val="27"/>
        </w:rPr>
        <w:t>О применении инвестиционного налогового вычета по налогу на прибыль организаций н</w:t>
      </w:r>
      <w:r w:rsidR="00EE71DF">
        <w:rPr>
          <w:rFonts w:ascii="Times New Roman" w:hAnsi="Times New Roman" w:cs="Times New Roman"/>
          <w:sz w:val="27"/>
          <w:szCs w:val="27"/>
        </w:rPr>
        <w:t>а территории Мурманской области».</w:t>
      </w:r>
    </w:p>
    <w:p w:rsidR="002850C5" w:rsidRDefault="00B057BC" w:rsidP="00E54B6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Общий объем </w:t>
      </w:r>
      <w:r w:rsidR="0046263D">
        <w:rPr>
          <w:rFonts w:ascii="Times New Roman" w:hAnsi="Times New Roman" w:cs="Times New Roman"/>
          <w:sz w:val="27"/>
          <w:szCs w:val="27"/>
        </w:rPr>
        <w:t>выпадающих (</w:t>
      </w:r>
      <w:r>
        <w:rPr>
          <w:rFonts w:ascii="Times New Roman" w:hAnsi="Times New Roman" w:cs="Times New Roman"/>
          <w:sz w:val="27"/>
          <w:szCs w:val="27"/>
        </w:rPr>
        <w:t>недополученных</w:t>
      </w:r>
      <w:r w:rsidR="0046263D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 xml:space="preserve"> доходов бюджета в </w:t>
      </w:r>
      <w:r w:rsidRPr="00020889">
        <w:rPr>
          <w:rFonts w:ascii="Times New Roman" w:hAnsi="Times New Roman" w:cs="Times New Roman"/>
          <w:sz w:val="27"/>
          <w:szCs w:val="27"/>
        </w:rPr>
        <w:t>результате предоставления налоговых льгот в 20</w:t>
      </w:r>
      <w:r w:rsidR="003732CB">
        <w:rPr>
          <w:rFonts w:ascii="Times New Roman" w:hAnsi="Times New Roman" w:cs="Times New Roman"/>
          <w:sz w:val="27"/>
          <w:szCs w:val="27"/>
        </w:rPr>
        <w:t>2</w:t>
      </w:r>
      <w:r w:rsidR="00FC5B32">
        <w:rPr>
          <w:rFonts w:ascii="Times New Roman" w:hAnsi="Times New Roman" w:cs="Times New Roman"/>
          <w:sz w:val="27"/>
          <w:szCs w:val="27"/>
        </w:rPr>
        <w:t>2</w:t>
      </w:r>
      <w:r w:rsidRPr="00020889">
        <w:rPr>
          <w:rFonts w:ascii="Times New Roman" w:hAnsi="Times New Roman" w:cs="Times New Roman"/>
          <w:sz w:val="27"/>
          <w:szCs w:val="27"/>
        </w:rPr>
        <w:t xml:space="preserve"> год</w:t>
      </w:r>
      <w:r w:rsidR="009C410F" w:rsidRPr="00020889">
        <w:rPr>
          <w:rFonts w:ascii="Times New Roman" w:hAnsi="Times New Roman" w:cs="Times New Roman"/>
          <w:sz w:val="27"/>
          <w:szCs w:val="27"/>
        </w:rPr>
        <w:t xml:space="preserve">у по оценке </w:t>
      </w:r>
      <w:r w:rsidRPr="00020889">
        <w:rPr>
          <w:rFonts w:ascii="Times New Roman" w:hAnsi="Times New Roman" w:cs="Times New Roman"/>
          <w:sz w:val="27"/>
          <w:szCs w:val="27"/>
        </w:rPr>
        <w:t>составил</w:t>
      </w:r>
      <w:r w:rsidR="00CA755F">
        <w:rPr>
          <w:rFonts w:ascii="Times New Roman" w:hAnsi="Times New Roman" w:cs="Times New Roman"/>
          <w:sz w:val="27"/>
          <w:szCs w:val="27"/>
        </w:rPr>
        <w:t xml:space="preserve"> </w:t>
      </w:r>
      <w:r w:rsidR="00FC5B32">
        <w:rPr>
          <w:rFonts w:ascii="Times New Roman" w:hAnsi="Times New Roman" w:cs="Times New Roman"/>
          <w:sz w:val="27"/>
          <w:szCs w:val="27"/>
        </w:rPr>
        <w:t>17,4</w:t>
      </w:r>
      <w:r w:rsidR="00CA755F" w:rsidRPr="00CA755F">
        <w:rPr>
          <w:rFonts w:ascii="Times New Roman" w:hAnsi="Times New Roman" w:cs="Times New Roman"/>
          <w:sz w:val="27"/>
          <w:szCs w:val="27"/>
        </w:rPr>
        <w:t> </w:t>
      </w:r>
      <w:r w:rsidR="00B272FD" w:rsidRPr="00CA755F">
        <w:rPr>
          <w:rFonts w:ascii="Times New Roman" w:hAnsi="Times New Roman" w:cs="Times New Roman"/>
          <w:sz w:val="27"/>
          <w:szCs w:val="27"/>
        </w:rPr>
        <w:t>мл</w:t>
      </w:r>
      <w:r w:rsidR="003732CB" w:rsidRPr="00CA755F">
        <w:rPr>
          <w:rFonts w:ascii="Times New Roman" w:hAnsi="Times New Roman" w:cs="Times New Roman"/>
          <w:sz w:val="27"/>
          <w:szCs w:val="27"/>
        </w:rPr>
        <w:t>рд</w:t>
      </w:r>
      <w:r w:rsidR="00B272FD" w:rsidRPr="00CA755F">
        <w:rPr>
          <w:rFonts w:ascii="Times New Roman" w:hAnsi="Times New Roman" w:cs="Times New Roman"/>
          <w:sz w:val="27"/>
          <w:szCs w:val="27"/>
        </w:rPr>
        <w:t xml:space="preserve"> рублей, </w:t>
      </w:r>
      <w:r w:rsidR="003732CB" w:rsidRPr="00CA755F">
        <w:rPr>
          <w:rFonts w:ascii="Times New Roman" w:hAnsi="Times New Roman" w:cs="Times New Roman"/>
          <w:sz w:val="27"/>
          <w:szCs w:val="27"/>
        </w:rPr>
        <w:t xml:space="preserve">увеличившись </w:t>
      </w:r>
      <w:r w:rsidR="00B272FD" w:rsidRPr="00CA755F">
        <w:rPr>
          <w:rFonts w:ascii="Times New Roman" w:hAnsi="Times New Roman" w:cs="Times New Roman"/>
          <w:sz w:val="27"/>
          <w:szCs w:val="27"/>
        </w:rPr>
        <w:t xml:space="preserve">в </w:t>
      </w:r>
      <w:r w:rsidR="00FC5B32">
        <w:rPr>
          <w:rFonts w:ascii="Times New Roman" w:hAnsi="Times New Roman" w:cs="Times New Roman"/>
          <w:sz w:val="27"/>
          <w:szCs w:val="27"/>
        </w:rPr>
        <w:t>1,6</w:t>
      </w:r>
      <w:r w:rsidR="00B272FD" w:rsidRPr="00CA755F">
        <w:rPr>
          <w:rFonts w:ascii="Times New Roman" w:hAnsi="Times New Roman" w:cs="Times New Roman"/>
          <w:sz w:val="27"/>
          <w:szCs w:val="27"/>
        </w:rPr>
        <w:t xml:space="preserve"> раза </w:t>
      </w:r>
      <w:r w:rsidR="0046263D" w:rsidRPr="00CA755F">
        <w:rPr>
          <w:rFonts w:ascii="Times New Roman" w:hAnsi="Times New Roman" w:cs="Times New Roman"/>
          <w:sz w:val="27"/>
          <w:szCs w:val="27"/>
        </w:rPr>
        <w:t>(</w:t>
      </w:r>
      <w:r w:rsidR="00B272FD" w:rsidRPr="00CA755F">
        <w:rPr>
          <w:rFonts w:ascii="Times New Roman" w:hAnsi="Times New Roman" w:cs="Times New Roman"/>
          <w:sz w:val="27"/>
          <w:szCs w:val="27"/>
        </w:rPr>
        <w:t xml:space="preserve">на </w:t>
      </w:r>
      <w:r w:rsidR="00AE736D">
        <w:rPr>
          <w:rFonts w:ascii="Times New Roman" w:hAnsi="Times New Roman" w:cs="Times New Roman"/>
          <w:sz w:val="27"/>
          <w:szCs w:val="27"/>
        </w:rPr>
        <w:t>6,</w:t>
      </w:r>
      <w:r w:rsidR="00FC5B32">
        <w:rPr>
          <w:rFonts w:ascii="Times New Roman" w:hAnsi="Times New Roman" w:cs="Times New Roman"/>
          <w:sz w:val="27"/>
          <w:szCs w:val="27"/>
        </w:rPr>
        <w:t>5</w:t>
      </w:r>
      <w:r w:rsidR="0046263D" w:rsidRPr="00CA755F">
        <w:rPr>
          <w:rFonts w:ascii="Times New Roman" w:hAnsi="Times New Roman" w:cs="Times New Roman"/>
          <w:sz w:val="27"/>
          <w:szCs w:val="27"/>
        </w:rPr>
        <w:t xml:space="preserve"> мл</w:t>
      </w:r>
      <w:r w:rsidR="003732CB" w:rsidRPr="00CA755F">
        <w:rPr>
          <w:rFonts w:ascii="Times New Roman" w:hAnsi="Times New Roman" w:cs="Times New Roman"/>
          <w:sz w:val="27"/>
          <w:szCs w:val="27"/>
        </w:rPr>
        <w:t>рд</w:t>
      </w:r>
      <w:r w:rsidR="0046263D" w:rsidRPr="00CA755F">
        <w:rPr>
          <w:rFonts w:ascii="Times New Roman" w:hAnsi="Times New Roman" w:cs="Times New Roman"/>
          <w:sz w:val="27"/>
          <w:szCs w:val="27"/>
        </w:rPr>
        <w:t xml:space="preserve"> рублей) </w:t>
      </w:r>
      <w:r w:rsidR="00B272FD" w:rsidRPr="00CA755F">
        <w:rPr>
          <w:rFonts w:ascii="Times New Roman" w:hAnsi="Times New Roman" w:cs="Times New Roman"/>
          <w:sz w:val="27"/>
          <w:szCs w:val="27"/>
        </w:rPr>
        <w:t xml:space="preserve">по отношению к уровню </w:t>
      </w:r>
      <w:r w:rsidRPr="00CA755F">
        <w:rPr>
          <w:rFonts w:ascii="Times New Roman" w:hAnsi="Times New Roman" w:cs="Times New Roman"/>
          <w:sz w:val="27"/>
          <w:szCs w:val="27"/>
        </w:rPr>
        <w:t>20</w:t>
      </w:r>
      <w:r w:rsidR="00FC5B32">
        <w:rPr>
          <w:rFonts w:ascii="Times New Roman" w:hAnsi="Times New Roman" w:cs="Times New Roman"/>
          <w:sz w:val="27"/>
          <w:szCs w:val="27"/>
        </w:rPr>
        <w:t>21</w:t>
      </w:r>
      <w:r w:rsidRPr="00CA755F">
        <w:rPr>
          <w:rFonts w:ascii="Times New Roman" w:hAnsi="Times New Roman" w:cs="Times New Roman"/>
          <w:sz w:val="27"/>
          <w:szCs w:val="27"/>
        </w:rPr>
        <w:t xml:space="preserve"> год</w:t>
      </w:r>
      <w:r w:rsidR="00B272FD" w:rsidRPr="00CA755F">
        <w:rPr>
          <w:rFonts w:ascii="Times New Roman" w:hAnsi="Times New Roman" w:cs="Times New Roman"/>
          <w:sz w:val="27"/>
          <w:szCs w:val="27"/>
        </w:rPr>
        <w:t>а</w:t>
      </w:r>
      <w:r w:rsidR="00AE736D">
        <w:rPr>
          <w:rFonts w:ascii="Times New Roman" w:hAnsi="Times New Roman" w:cs="Times New Roman"/>
          <w:sz w:val="27"/>
          <w:szCs w:val="27"/>
        </w:rPr>
        <w:t xml:space="preserve">, что </w:t>
      </w:r>
      <w:r w:rsidR="00682E77" w:rsidRPr="00CA755F">
        <w:rPr>
          <w:rFonts w:ascii="Times New Roman" w:hAnsi="Times New Roman" w:cs="Times New Roman"/>
          <w:sz w:val="27"/>
          <w:szCs w:val="27"/>
        </w:rPr>
        <w:t>в большей степени</w:t>
      </w:r>
      <w:r w:rsidR="00CA755F" w:rsidRPr="00CA755F">
        <w:rPr>
          <w:rFonts w:ascii="Times New Roman" w:hAnsi="Times New Roman" w:cs="Times New Roman"/>
          <w:sz w:val="27"/>
          <w:szCs w:val="27"/>
        </w:rPr>
        <w:t xml:space="preserve"> </w:t>
      </w:r>
      <w:r w:rsidR="00D56F7B" w:rsidRPr="00CA755F">
        <w:rPr>
          <w:rFonts w:ascii="Times New Roman" w:hAnsi="Times New Roman" w:cs="Times New Roman"/>
          <w:sz w:val="27"/>
          <w:szCs w:val="27"/>
        </w:rPr>
        <w:t xml:space="preserve">обусловлено </w:t>
      </w:r>
      <w:r w:rsidR="003732CB" w:rsidRPr="00CA755F">
        <w:rPr>
          <w:rFonts w:ascii="Times New Roman" w:hAnsi="Times New Roman" w:cs="Times New Roman"/>
          <w:sz w:val="27"/>
          <w:szCs w:val="27"/>
        </w:rPr>
        <w:t>ростом</w:t>
      </w:r>
      <w:r w:rsidR="00D56F7B" w:rsidRPr="00CA755F">
        <w:rPr>
          <w:rFonts w:ascii="Times New Roman" w:hAnsi="Times New Roman" w:cs="Times New Roman"/>
          <w:sz w:val="27"/>
          <w:szCs w:val="27"/>
        </w:rPr>
        <w:t xml:space="preserve"> объема налоговых льгот</w:t>
      </w:r>
      <w:r w:rsidR="003732CB" w:rsidRPr="00CA755F">
        <w:rPr>
          <w:rFonts w:ascii="Times New Roman" w:hAnsi="Times New Roman" w:cs="Times New Roman"/>
          <w:sz w:val="27"/>
          <w:szCs w:val="27"/>
        </w:rPr>
        <w:t xml:space="preserve"> по налогу, взимаемому в связи с применением упрощенной систем</w:t>
      </w:r>
      <w:r w:rsidR="00682E77" w:rsidRPr="00CA755F">
        <w:rPr>
          <w:rFonts w:ascii="Times New Roman" w:hAnsi="Times New Roman" w:cs="Times New Roman"/>
          <w:sz w:val="27"/>
          <w:szCs w:val="27"/>
        </w:rPr>
        <w:t>ы</w:t>
      </w:r>
      <w:r w:rsidR="003732CB" w:rsidRPr="00CA755F">
        <w:rPr>
          <w:rFonts w:ascii="Times New Roman" w:hAnsi="Times New Roman" w:cs="Times New Roman"/>
          <w:sz w:val="27"/>
          <w:szCs w:val="27"/>
        </w:rPr>
        <w:t xml:space="preserve"> налогообложения (далее – УСН)</w:t>
      </w:r>
      <w:r w:rsidR="002850C5">
        <w:rPr>
          <w:rFonts w:ascii="Times New Roman" w:hAnsi="Times New Roman" w:cs="Times New Roman"/>
          <w:sz w:val="27"/>
          <w:szCs w:val="27"/>
        </w:rPr>
        <w:t>.</w:t>
      </w:r>
    </w:p>
    <w:p w:rsidR="0046263D" w:rsidRPr="00067B23" w:rsidRDefault="003732CB" w:rsidP="00E54B6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</w:t>
      </w:r>
      <w:r w:rsidR="0046263D" w:rsidRPr="00782EFC">
        <w:rPr>
          <w:rFonts w:ascii="Times New Roman" w:hAnsi="Times New Roman" w:cs="Times New Roman"/>
          <w:sz w:val="27"/>
          <w:szCs w:val="27"/>
        </w:rPr>
        <w:t xml:space="preserve">дельный вес налоговых льгот в налоговых доходах консолидированного бюджета Мурманской </w:t>
      </w:r>
      <w:r w:rsidR="0046263D" w:rsidRPr="0051002C">
        <w:rPr>
          <w:rFonts w:ascii="Times New Roman" w:hAnsi="Times New Roman" w:cs="Times New Roman"/>
          <w:sz w:val="27"/>
          <w:szCs w:val="27"/>
        </w:rPr>
        <w:t xml:space="preserve">области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="0046263D" w:rsidRPr="0051002C">
        <w:rPr>
          <w:rFonts w:ascii="Times New Roman" w:hAnsi="Times New Roman" w:cs="Times New Roman"/>
          <w:sz w:val="27"/>
          <w:szCs w:val="27"/>
        </w:rPr>
        <w:t xml:space="preserve">на </w:t>
      </w:r>
      <w:r w:rsidR="00FC5B32">
        <w:rPr>
          <w:rFonts w:ascii="Times New Roman" w:hAnsi="Times New Roman" w:cs="Times New Roman"/>
          <w:sz w:val="27"/>
          <w:szCs w:val="27"/>
        </w:rPr>
        <w:t>7,8</w:t>
      </w:r>
      <w:r w:rsidR="0046263D" w:rsidRPr="0051002C">
        <w:rPr>
          <w:rFonts w:ascii="Times New Roman" w:hAnsi="Times New Roman" w:cs="Times New Roman"/>
          <w:sz w:val="27"/>
          <w:szCs w:val="27"/>
        </w:rPr>
        <w:t xml:space="preserve"> проц</w:t>
      </w:r>
      <w:r w:rsidR="00D56F7B">
        <w:rPr>
          <w:rFonts w:ascii="Times New Roman" w:hAnsi="Times New Roman" w:cs="Times New Roman"/>
          <w:sz w:val="27"/>
          <w:szCs w:val="27"/>
        </w:rPr>
        <w:t>ентных</w:t>
      </w:r>
      <w:r w:rsidR="0046263D" w:rsidRPr="0051002C">
        <w:rPr>
          <w:rFonts w:ascii="Times New Roman" w:hAnsi="Times New Roman" w:cs="Times New Roman"/>
          <w:sz w:val="27"/>
          <w:szCs w:val="27"/>
        </w:rPr>
        <w:t xml:space="preserve"> пункт</w:t>
      </w:r>
      <w:r w:rsidR="00D56F7B">
        <w:rPr>
          <w:rFonts w:ascii="Times New Roman" w:hAnsi="Times New Roman" w:cs="Times New Roman"/>
          <w:sz w:val="27"/>
          <w:szCs w:val="27"/>
        </w:rPr>
        <w:t>а</w:t>
      </w:r>
      <w:r w:rsidR="0046263D" w:rsidRPr="0051002C">
        <w:rPr>
          <w:rFonts w:ascii="Times New Roman" w:hAnsi="Times New Roman" w:cs="Times New Roman"/>
          <w:sz w:val="27"/>
          <w:szCs w:val="27"/>
        </w:rPr>
        <w:t xml:space="preserve"> и составил </w:t>
      </w:r>
      <w:r w:rsidR="00FC5B32">
        <w:rPr>
          <w:rFonts w:ascii="Times New Roman" w:hAnsi="Times New Roman" w:cs="Times New Roman"/>
          <w:sz w:val="27"/>
          <w:szCs w:val="27"/>
        </w:rPr>
        <w:t>16,9</w:t>
      </w:r>
      <w:r w:rsidR="0046263D" w:rsidRPr="0051002C">
        <w:rPr>
          <w:rFonts w:ascii="Times New Roman" w:hAnsi="Times New Roman" w:cs="Times New Roman"/>
          <w:sz w:val="27"/>
          <w:szCs w:val="27"/>
        </w:rPr>
        <w:t> %.</w:t>
      </w:r>
    </w:p>
    <w:p w:rsidR="00B057BC" w:rsidRPr="00CB57C4" w:rsidRDefault="00CB57C4" w:rsidP="00CB57C4">
      <w:pPr>
        <w:spacing w:after="0" w:line="26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1</w:t>
      </w:r>
    </w:p>
    <w:p w:rsidR="007D218C" w:rsidRPr="007D218C" w:rsidRDefault="007D218C" w:rsidP="00B272FD">
      <w:pPr>
        <w:spacing w:after="0" w:line="269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FC1DB1" w:rsidRDefault="00B272FD" w:rsidP="00B272FD">
      <w:pPr>
        <w:spacing w:after="0" w:line="269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B272FD">
        <w:rPr>
          <w:rFonts w:ascii="Times New Roman" w:hAnsi="Times New Roman" w:cs="Times New Roman"/>
          <w:i/>
          <w:sz w:val="27"/>
          <w:szCs w:val="27"/>
        </w:rPr>
        <w:t>И</w:t>
      </w:r>
      <w:r w:rsidR="00FC1DB1" w:rsidRPr="00B272FD">
        <w:rPr>
          <w:rFonts w:ascii="Times New Roman" w:hAnsi="Times New Roman" w:cs="Times New Roman"/>
          <w:i/>
          <w:sz w:val="27"/>
          <w:szCs w:val="27"/>
        </w:rPr>
        <w:t>зменени</w:t>
      </w:r>
      <w:r w:rsidRPr="00B272FD">
        <w:rPr>
          <w:rFonts w:ascii="Times New Roman" w:hAnsi="Times New Roman" w:cs="Times New Roman"/>
          <w:i/>
          <w:sz w:val="27"/>
          <w:szCs w:val="27"/>
        </w:rPr>
        <w:t>е</w:t>
      </w:r>
      <w:r w:rsidR="00FC1DB1" w:rsidRPr="00B272FD">
        <w:rPr>
          <w:rFonts w:ascii="Times New Roman" w:hAnsi="Times New Roman" w:cs="Times New Roman"/>
          <w:i/>
          <w:sz w:val="27"/>
          <w:szCs w:val="27"/>
        </w:rPr>
        <w:t xml:space="preserve"> объема налоговых льгот, предоставленных в соответствии с законодательными актами Мурманской области</w:t>
      </w:r>
      <w:r w:rsidR="00BC4B2F" w:rsidRPr="00B272FD">
        <w:rPr>
          <w:rFonts w:ascii="Times New Roman" w:hAnsi="Times New Roman" w:cs="Times New Roman"/>
          <w:i/>
          <w:sz w:val="27"/>
          <w:szCs w:val="27"/>
        </w:rPr>
        <w:t xml:space="preserve"> о налогах</w:t>
      </w:r>
      <w:r w:rsidR="00FC1DB1" w:rsidRPr="00B272FD">
        <w:rPr>
          <w:rFonts w:ascii="Times New Roman" w:hAnsi="Times New Roman" w:cs="Times New Roman"/>
          <w:i/>
          <w:sz w:val="27"/>
          <w:szCs w:val="27"/>
        </w:rPr>
        <w:t>, за 20</w:t>
      </w:r>
      <w:r w:rsidR="003A7F9B">
        <w:rPr>
          <w:rFonts w:ascii="Times New Roman" w:hAnsi="Times New Roman" w:cs="Times New Roman"/>
          <w:i/>
          <w:sz w:val="27"/>
          <w:szCs w:val="27"/>
        </w:rPr>
        <w:t>2</w:t>
      </w:r>
      <w:r w:rsidR="00FC5B32">
        <w:rPr>
          <w:rFonts w:ascii="Times New Roman" w:hAnsi="Times New Roman" w:cs="Times New Roman"/>
          <w:i/>
          <w:sz w:val="27"/>
          <w:szCs w:val="27"/>
        </w:rPr>
        <w:t>1</w:t>
      </w:r>
      <w:r w:rsidR="00FC1DB1" w:rsidRPr="00B272FD">
        <w:rPr>
          <w:rFonts w:ascii="Times New Roman" w:hAnsi="Times New Roman" w:cs="Times New Roman"/>
          <w:i/>
          <w:sz w:val="27"/>
          <w:szCs w:val="27"/>
        </w:rPr>
        <w:t>-20</w:t>
      </w:r>
      <w:r w:rsidR="003A7F9B">
        <w:rPr>
          <w:rFonts w:ascii="Times New Roman" w:hAnsi="Times New Roman" w:cs="Times New Roman"/>
          <w:i/>
          <w:sz w:val="27"/>
          <w:szCs w:val="27"/>
        </w:rPr>
        <w:t>2</w:t>
      </w:r>
      <w:r w:rsidR="00FC5B32">
        <w:rPr>
          <w:rFonts w:ascii="Times New Roman" w:hAnsi="Times New Roman" w:cs="Times New Roman"/>
          <w:i/>
          <w:sz w:val="27"/>
          <w:szCs w:val="27"/>
        </w:rPr>
        <w:t>2</w:t>
      </w:r>
      <w:r w:rsidRPr="00B272FD">
        <w:rPr>
          <w:rFonts w:ascii="Times New Roman" w:hAnsi="Times New Roman" w:cs="Times New Roman"/>
          <w:i/>
          <w:sz w:val="27"/>
          <w:szCs w:val="27"/>
        </w:rPr>
        <w:t xml:space="preserve"> годы</w:t>
      </w:r>
    </w:p>
    <w:p w:rsidR="007D218C" w:rsidRPr="007D218C" w:rsidRDefault="007D218C" w:rsidP="00B272FD">
      <w:pPr>
        <w:spacing w:after="0" w:line="269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5920"/>
        <w:gridCol w:w="1134"/>
        <w:gridCol w:w="992"/>
        <w:gridCol w:w="1134"/>
        <w:gridCol w:w="851"/>
      </w:tblGrid>
      <w:tr w:rsidR="00795EE1" w:rsidRPr="0051131B" w:rsidTr="007D218C">
        <w:trPr>
          <w:trHeight w:val="514"/>
        </w:trPr>
        <w:tc>
          <w:tcPr>
            <w:tcW w:w="5920" w:type="dxa"/>
            <w:vMerge w:val="restart"/>
            <w:vAlign w:val="center"/>
          </w:tcPr>
          <w:p w:rsidR="00795EE1" w:rsidRPr="0051131B" w:rsidRDefault="00795EE1" w:rsidP="00F40176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6" w:type="dxa"/>
            <w:gridSpan w:val="2"/>
            <w:vAlign w:val="center"/>
          </w:tcPr>
          <w:p w:rsidR="00F9400D" w:rsidRPr="0051131B" w:rsidRDefault="003A7F9B" w:rsidP="00FC5B32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C5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95EE1"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795EE1" w:rsidRPr="0051131B" w:rsidRDefault="00795EE1" w:rsidP="00FC5B32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3A7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C5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95EE1" w:rsidRPr="0051131B" w:rsidTr="005450CD">
        <w:tc>
          <w:tcPr>
            <w:tcW w:w="5920" w:type="dxa"/>
            <w:vMerge/>
            <w:vAlign w:val="center"/>
          </w:tcPr>
          <w:p w:rsidR="00795EE1" w:rsidRPr="0051131B" w:rsidRDefault="00795EE1" w:rsidP="00F40176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Align w:val="center"/>
          </w:tcPr>
          <w:p w:rsidR="00682E77" w:rsidRPr="0051131B" w:rsidRDefault="00682E77" w:rsidP="00682E77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795EE1"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лн</w:t>
            </w:r>
          </w:p>
          <w:p w:rsidR="00795EE1" w:rsidRPr="0051131B" w:rsidRDefault="00795EE1" w:rsidP="00682E7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vAlign w:val="center"/>
          </w:tcPr>
          <w:p w:rsidR="00795EE1" w:rsidRPr="0051131B" w:rsidRDefault="00795EE1" w:rsidP="00F40176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795EE1" w:rsidRPr="0051131B" w:rsidRDefault="00682E77" w:rsidP="00F40176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  <w:r w:rsidR="00795EE1"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851" w:type="dxa"/>
            <w:vAlign w:val="center"/>
          </w:tcPr>
          <w:p w:rsidR="00795EE1" w:rsidRPr="0051131B" w:rsidRDefault="00795EE1" w:rsidP="00F40176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D56F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налоговых льгот, предоставленных в соответствии с законами Мурманской области о налогах, 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5450CD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10 845,3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1B1E0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EC5478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100</w:t>
            </w:r>
            <w:r w:rsidR="001B1E02" w:rsidRPr="00EC5478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,0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5450CD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17 385,0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51131B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100</w:t>
            </w:r>
            <w:r w:rsidR="001B1E02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,0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F40176">
            <w:pPr>
              <w:spacing w:line="269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FC5B3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217</w:t>
            </w:r>
            <w:r w:rsidR="005450CD" w:rsidRPr="00EC5478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160,3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777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BA339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налогу на прибыль организаций, 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</w:t>
            </w:r>
            <w:r w:rsidR="00D57535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296,1</w:t>
            </w:r>
          </w:p>
        </w:tc>
        <w:tc>
          <w:tcPr>
            <w:tcW w:w="992" w:type="dxa"/>
            <w:vAlign w:val="center"/>
          </w:tcPr>
          <w:p w:rsidR="003A7F9B" w:rsidRPr="00EC5478" w:rsidRDefault="00FC5B32" w:rsidP="00D57535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</w:t>
            </w:r>
            <w:r w:rsidR="00D57535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,</w:t>
            </w:r>
            <w:r w:rsidR="00D57535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9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2 610,8</w:t>
            </w:r>
          </w:p>
        </w:tc>
        <w:tc>
          <w:tcPr>
            <w:tcW w:w="851" w:type="dxa"/>
            <w:vAlign w:val="center"/>
          </w:tcPr>
          <w:p w:rsidR="003A7F9B" w:rsidRPr="0051131B" w:rsidRDefault="00FC5B32" w:rsidP="001B1E0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15,0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BA3391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043F6B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113,8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FC5B32" w:rsidP="00043F6B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201,4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13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sz w:val="24"/>
                <w:szCs w:val="24"/>
              </w:rPr>
              <w:t xml:space="preserve">в т.ч. в рамках заключенных соглашений </w:t>
            </w:r>
            <w:r w:rsidR="0013530B">
              <w:rPr>
                <w:rFonts w:ascii="Times New Roman" w:hAnsi="Times New Roman" w:cs="Times New Roman"/>
                <w:sz w:val="24"/>
                <w:szCs w:val="24"/>
              </w:rPr>
              <w:t xml:space="preserve">(специальных инвестиционных контрактов) </w:t>
            </w:r>
            <w:r w:rsidRPr="0051131B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инвестиционной деятельности</w:t>
            </w:r>
          </w:p>
        </w:tc>
        <w:tc>
          <w:tcPr>
            <w:tcW w:w="1134" w:type="dxa"/>
            <w:vAlign w:val="center"/>
          </w:tcPr>
          <w:p w:rsidR="003A7F9B" w:rsidRPr="00EC5478" w:rsidRDefault="00536EDE" w:rsidP="00043F6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431F0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192,4</w:t>
            </w:r>
          </w:p>
        </w:tc>
        <w:tc>
          <w:tcPr>
            <w:tcW w:w="992" w:type="dxa"/>
            <w:vAlign w:val="center"/>
          </w:tcPr>
          <w:p w:rsidR="003A7F9B" w:rsidRPr="00EC5478" w:rsidRDefault="00536EDE" w:rsidP="00FC5B3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92</w:t>
            </w:r>
            <w:r w:rsidR="00FC5B32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vAlign w:val="center"/>
          </w:tcPr>
          <w:p w:rsidR="003A7F9B" w:rsidRPr="00EC5478" w:rsidRDefault="00226A7D" w:rsidP="00536ED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431F0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486,5</w:t>
            </w:r>
          </w:p>
        </w:tc>
        <w:tc>
          <w:tcPr>
            <w:tcW w:w="851" w:type="dxa"/>
            <w:vAlign w:val="center"/>
          </w:tcPr>
          <w:p w:rsidR="003A7F9B" w:rsidRPr="0051131B" w:rsidRDefault="00226A7D" w:rsidP="00043F6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95,2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BA3391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043F6B" w:rsidRPr="00EC5478" w:rsidRDefault="00536EDE" w:rsidP="00883F0C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107,1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AC25A1" w:rsidP="00043F6B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208,5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7776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налогу на имущество организаций, 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FD03E5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1 791,1</w:t>
            </w:r>
          </w:p>
        </w:tc>
        <w:tc>
          <w:tcPr>
            <w:tcW w:w="992" w:type="dxa"/>
            <w:vAlign w:val="center"/>
          </w:tcPr>
          <w:p w:rsidR="003A7F9B" w:rsidRPr="00EC5478" w:rsidRDefault="00FD03E5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16,5</w:t>
            </w:r>
          </w:p>
        </w:tc>
        <w:tc>
          <w:tcPr>
            <w:tcW w:w="1134" w:type="dxa"/>
            <w:vAlign w:val="center"/>
          </w:tcPr>
          <w:p w:rsidR="003A7F9B" w:rsidRPr="00EC5478" w:rsidRDefault="00FD03E5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3 649,7</w:t>
            </w:r>
          </w:p>
        </w:tc>
        <w:tc>
          <w:tcPr>
            <w:tcW w:w="851" w:type="dxa"/>
            <w:vAlign w:val="center"/>
          </w:tcPr>
          <w:p w:rsidR="003A7F9B" w:rsidRPr="0051131B" w:rsidRDefault="00FD03E5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21,0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F40176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924746" w:rsidP="00E34C7F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200,7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D26768" w:rsidP="00924746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20</w:t>
            </w:r>
            <w:r w:rsidR="00924746">
              <w:rPr>
                <w:rFonts w:ascii="Times New Roman" w:hAnsi="Times New Roman" w:cs="Times New Roman"/>
                <w:i/>
                <w:color w:val="000000"/>
              </w:rPr>
              <w:t>3,8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7D218C" w:rsidRPr="0051131B" w:rsidTr="00447497">
        <w:tc>
          <w:tcPr>
            <w:tcW w:w="5920" w:type="dxa"/>
            <w:vMerge w:val="restart"/>
            <w:vAlign w:val="center"/>
          </w:tcPr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6" w:type="dxa"/>
            <w:gridSpan w:val="2"/>
            <w:vAlign w:val="center"/>
          </w:tcPr>
          <w:p w:rsidR="007D218C" w:rsidRPr="0051131B" w:rsidRDefault="007D218C" w:rsidP="009A7A5C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A7A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7D218C" w:rsidRPr="0051131B" w:rsidRDefault="007D218C" w:rsidP="009A7A5C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A7A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113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D218C" w:rsidRPr="0051131B" w:rsidTr="00447497">
        <w:tc>
          <w:tcPr>
            <w:tcW w:w="5920" w:type="dxa"/>
            <w:vMerge/>
            <w:vAlign w:val="center"/>
          </w:tcPr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Align w:val="center"/>
          </w:tcPr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млн</w:t>
            </w:r>
          </w:p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vAlign w:val="center"/>
          </w:tcPr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851" w:type="dxa"/>
            <w:vAlign w:val="center"/>
          </w:tcPr>
          <w:p w:rsidR="007D218C" w:rsidRPr="0051131B" w:rsidRDefault="007D218C" w:rsidP="00447497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1131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A7F9B" w:rsidRPr="0051131B" w:rsidTr="007D218C">
        <w:trPr>
          <w:trHeight w:val="551"/>
        </w:trPr>
        <w:tc>
          <w:tcPr>
            <w:tcW w:w="5920" w:type="dxa"/>
            <w:vAlign w:val="center"/>
          </w:tcPr>
          <w:p w:rsidR="003A7F9B" w:rsidRPr="0051131B" w:rsidRDefault="003A7F9B" w:rsidP="00777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sz w:val="24"/>
                <w:szCs w:val="24"/>
              </w:rPr>
              <w:t xml:space="preserve">в т.ч. в рамках заключенных соглашений </w:t>
            </w:r>
            <w:r w:rsidR="0013530B">
              <w:rPr>
                <w:rFonts w:ascii="Times New Roman" w:hAnsi="Times New Roman" w:cs="Times New Roman"/>
                <w:sz w:val="24"/>
                <w:szCs w:val="24"/>
              </w:rPr>
              <w:t xml:space="preserve">(специальных инвестиционных контрактов) </w:t>
            </w:r>
            <w:r w:rsidRPr="0051131B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инвестиционной деятельности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E9204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E92042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</w:rPr>
              <w:t>66</w:t>
            </w:r>
            <w:r w:rsidR="00E92042">
              <w:rPr>
                <w:rFonts w:ascii="Times New Roman" w:hAnsi="Times New Roman" w:cs="Times New Roman"/>
                <w:bCs/>
                <w:color w:val="000000"/>
              </w:rPr>
              <w:t>2,4</w:t>
            </w:r>
          </w:p>
        </w:tc>
        <w:tc>
          <w:tcPr>
            <w:tcW w:w="992" w:type="dxa"/>
            <w:vAlign w:val="center"/>
          </w:tcPr>
          <w:p w:rsidR="003A7F9B" w:rsidRPr="00EC5478" w:rsidRDefault="009A7A5C" w:rsidP="00E9204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E92042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E92042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E9204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E92042">
              <w:rPr>
                <w:rFonts w:ascii="Times New Roman" w:hAnsi="Times New Roman" w:cs="Times New Roman"/>
                <w:bCs/>
                <w:color w:val="000000"/>
              </w:rPr>
              <w:t> 515,2</w:t>
            </w:r>
          </w:p>
        </w:tc>
        <w:tc>
          <w:tcPr>
            <w:tcW w:w="851" w:type="dxa"/>
            <w:vAlign w:val="center"/>
          </w:tcPr>
          <w:p w:rsidR="003A7F9B" w:rsidRPr="0051131B" w:rsidRDefault="009A7A5C" w:rsidP="00E92042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96,</w:t>
            </w:r>
            <w:r w:rsidR="00E92042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F40176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E92042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231,</w:t>
            </w:r>
            <w:r w:rsidR="00E92042">
              <w:rPr>
                <w:rFonts w:ascii="Times New Roman" w:hAnsi="Times New Roman" w:cs="Times New Roman"/>
                <w:i/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E92042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211,</w:t>
            </w:r>
            <w:r w:rsidR="00E92042">
              <w:rPr>
                <w:rFonts w:ascii="Times New Roman" w:hAnsi="Times New Roman" w:cs="Times New Roman"/>
                <w:i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F401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транспортному налогу, 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115,6</w:t>
            </w:r>
          </w:p>
        </w:tc>
        <w:tc>
          <w:tcPr>
            <w:tcW w:w="992" w:type="dxa"/>
            <w:vAlign w:val="center"/>
          </w:tcPr>
          <w:p w:rsidR="003A7F9B" w:rsidRPr="00EC5478" w:rsidRDefault="009A7A5C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1,1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13530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191,2</w:t>
            </w:r>
          </w:p>
        </w:tc>
        <w:tc>
          <w:tcPr>
            <w:tcW w:w="851" w:type="dxa"/>
            <w:vAlign w:val="center"/>
          </w:tcPr>
          <w:p w:rsidR="003A7F9B" w:rsidRPr="0051131B" w:rsidRDefault="009A7A5C" w:rsidP="001B1E0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1,1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F40176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9A7A5C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109,2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9A7A5C" w:rsidP="0013530B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165,4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5450CD" w:rsidRDefault="003A7F9B" w:rsidP="00F401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налогу, взимаемому в связи с применением упрощенной системы налогообложения (УСН), </w:t>
            </w:r>
          </w:p>
          <w:p w:rsidR="003A7F9B" w:rsidRPr="0051131B" w:rsidRDefault="003A7F9B" w:rsidP="00F401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4B35C3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7 642,2</w:t>
            </w:r>
          </w:p>
        </w:tc>
        <w:tc>
          <w:tcPr>
            <w:tcW w:w="992" w:type="dxa"/>
            <w:vAlign w:val="center"/>
          </w:tcPr>
          <w:p w:rsidR="003A7F9B" w:rsidRPr="00EC5478" w:rsidRDefault="001F41EF" w:rsidP="001B1E0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70,5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4B35C3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10 933,1</w:t>
            </w:r>
          </w:p>
        </w:tc>
        <w:tc>
          <w:tcPr>
            <w:tcW w:w="851" w:type="dxa"/>
            <w:vAlign w:val="center"/>
          </w:tcPr>
          <w:p w:rsidR="003A7F9B" w:rsidRPr="0051131B" w:rsidRDefault="001F41EF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62,9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3A7F9B" w:rsidRPr="0051131B" w:rsidRDefault="003A7F9B" w:rsidP="00F40176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4B35C3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269,0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4B35C3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143,1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51131B" w:rsidTr="005450CD">
        <w:tc>
          <w:tcPr>
            <w:tcW w:w="5920" w:type="dxa"/>
            <w:vAlign w:val="center"/>
          </w:tcPr>
          <w:p w:rsidR="005450CD" w:rsidRDefault="003A7F9B" w:rsidP="00F401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налогу, взимаемому в связи с применением патентной системы налогообложения (ПСН), </w:t>
            </w:r>
          </w:p>
          <w:p w:rsidR="003A7F9B" w:rsidRPr="0051131B" w:rsidRDefault="003A7F9B" w:rsidP="00F401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1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3A7F9B" w:rsidP="001F41E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EC5478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0,</w:t>
            </w:r>
            <w:r w:rsidR="001F41EF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1F41E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EC5478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0,0</w:t>
            </w:r>
            <w:r w:rsidR="001F41EF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3A7F9B" w:rsidRPr="00EC5478" w:rsidRDefault="003A7F9B" w:rsidP="001F41E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EC5478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0,</w:t>
            </w:r>
            <w:r w:rsidR="001F41EF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3A7F9B" w:rsidRPr="0051131B" w:rsidRDefault="003A7F9B" w:rsidP="001F41E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51131B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0,0</w:t>
            </w:r>
            <w:r w:rsidR="001B1E02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</w:t>
            </w:r>
            <w:r w:rsidR="001F41EF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</w:t>
            </w:r>
          </w:p>
        </w:tc>
      </w:tr>
      <w:tr w:rsidR="003A7F9B" w:rsidRPr="002E5A30" w:rsidTr="005450CD">
        <w:tc>
          <w:tcPr>
            <w:tcW w:w="5920" w:type="dxa"/>
            <w:vAlign w:val="center"/>
          </w:tcPr>
          <w:p w:rsidR="003A7F9B" w:rsidRPr="002E5A30" w:rsidRDefault="003A7F9B" w:rsidP="00F40176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0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4B35C3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100,0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4B35C3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66,7</w:t>
            </w:r>
          </w:p>
        </w:tc>
        <w:tc>
          <w:tcPr>
            <w:tcW w:w="851" w:type="dxa"/>
            <w:vAlign w:val="center"/>
          </w:tcPr>
          <w:p w:rsidR="003A7F9B" w:rsidRPr="00994923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9492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8B4DAD" w:rsidTr="007D218C">
        <w:trPr>
          <w:trHeight w:val="631"/>
        </w:trPr>
        <w:tc>
          <w:tcPr>
            <w:tcW w:w="5920" w:type="dxa"/>
            <w:vAlign w:val="center"/>
          </w:tcPr>
          <w:p w:rsidR="003A7F9B" w:rsidRPr="008B4DAD" w:rsidRDefault="003A7F9B" w:rsidP="00F40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D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доходы консолидированного бюджета области, млн руб.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1F41E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118 585,5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1F41E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102 586,2</w:t>
            </w:r>
          </w:p>
        </w:tc>
        <w:tc>
          <w:tcPr>
            <w:tcW w:w="851" w:type="dxa"/>
            <w:vAlign w:val="center"/>
          </w:tcPr>
          <w:p w:rsidR="003A7F9B" w:rsidRPr="00F2767A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767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</w:t>
            </w:r>
          </w:p>
        </w:tc>
      </w:tr>
      <w:tr w:rsidR="003A7F9B" w:rsidTr="005450CD">
        <w:tc>
          <w:tcPr>
            <w:tcW w:w="5920" w:type="dxa"/>
            <w:vAlign w:val="center"/>
          </w:tcPr>
          <w:p w:rsidR="003A7F9B" w:rsidRPr="00067B23" w:rsidRDefault="003A7F9B" w:rsidP="007776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удельный вес льгот в налоговых доходах консолидированного бюджета области, %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043F6B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9,1</w:t>
            </w:r>
          </w:p>
        </w:tc>
        <w:tc>
          <w:tcPr>
            <w:tcW w:w="992" w:type="dxa"/>
            <w:vAlign w:val="center"/>
          </w:tcPr>
          <w:p w:rsidR="003A7F9B" w:rsidRPr="00EC5478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C5478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EC5478" w:rsidRDefault="001F41EF" w:rsidP="005450C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16,9</w:t>
            </w:r>
          </w:p>
        </w:tc>
        <w:tc>
          <w:tcPr>
            <w:tcW w:w="851" w:type="dxa"/>
            <w:vAlign w:val="center"/>
          </w:tcPr>
          <w:p w:rsidR="003A7F9B" w:rsidRPr="00994923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9492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  <w:tr w:rsidR="003A7F9B" w:rsidRPr="008B4DAD" w:rsidTr="007D218C">
        <w:trPr>
          <w:trHeight w:val="563"/>
        </w:trPr>
        <w:tc>
          <w:tcPr>
            <w:tcW w:w="5920" w:type="dxa"/>
            <w:vAlign w:val="center"/>
          </w:tcPr>
          <w:p w:rsidR="003A7F9B" w:rsidRPr="008B4DAD" w:rsidRDefault="003A7F9B" w:rsidP="00F40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D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 консолидированного бюджета области, млн руб.</w:t>
            </w:r>
          </w:p>
        </w:tc>
        <w:tc>
          <w:tcPr>
            <w:tcW w:w="1134" w:type="dxa"/>
            <w:vAlign w:val="center"/>
          </w:tcPr>
          <w:p w:rsidR="003A7F9B" w:rsidRPr="00F45AFB" w:rsidRDefault="001F41EF" w:rsidP="005450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123 127,6</w:t>
            </w:r>
          </w:p>
        </w:tc>
        <w:tc>
          <w:tcPr>
            <w:tcW w:w="992" w:type="dxa"/>
            <w:vAlign w:val="center"/>
          </w:tcPr>
          <w:p w:rsidR="003A7F9B" w:rsidRPr="00F45AFB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5A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F45AFB" w:rsidRDefault="001F41EF" w:rsidP="001F41E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108 678,2</w:t>
            </w:r>
          </w:p>
        </w:tc>
        <w:tc>
          <w:tcPr>
            <w:tcW w:w="851" w:type="dxa"/>
            <w:vAlign w:val="center"/>
          </w:tcPr>
          <w:p w:rsidR="003A7F9B" w:rsidRPr="00F45AFB" w:rsidRDefault="003A7F9B" w:rsidP="00043F6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5A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х</w:t>
            </w:r>
          </w:p>
        </w:tc>
      </w:tr>
      <w:tr w:rsidR="003A7F9B" w:rsidTr="005450CD">
        <w:tc>
          <w:tcPr>
            <w:tcW w:w="5920" w:type="dxa"/>
            <w:vAlign w:val="center"/>
          </w:tcPr>
          <w:p w:rsidR="003A7F9B" w:rsidRPr="00067B23" w:rsidRDefault="003A7F9B" w:rsidP="007776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B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удельный вес льгот в налоговых и неналоговых доходах консолидированного бюджета области, %</w:t>
            </w:r>
          </w:p>
        </w:tc>
        <w:tc>
          <w:tcPr>
            <w:tcW w:w="1134" w:type="dxa"/>
            <w:vAlign w:val="center"/>
          </w:tcPr>
          <w:p w:rsidR="003A7F9B" w:rsidRPr="00F45AFB" w:rsidRDefault="001F41EF" w:rsidP="005450CD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8,8</w:t>
            </w:r>
          </w:p>
        </w:tc>
        <w:tc>
          <w:tcPr>
            <w:tcW w:w="992" w:type="dxa"/>
            <w:vAlign w:val="center"/>
          </w:tcPr>
          <w:p w:rsidR="003A7F9B" w:rsidRPr="00F45AF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45AF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  <w:tc>
          <w:tcPr>
            <w:tcW w:w="1134" w:type="dxa"/>
            <w:vAlign w:val="center"/>
          </w:tcPr>
          <w:p w:rsidR="003A7F9B" w:rsidRPr="00F45AFB" w:rsidRDefault="001F41EF" w:rsidP="001F41EF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16,0</w:t>
            </w:r>
          </w:p>
        </w:tc>
        <w:tc>
          <w:tcPr>
            <w:tcW w:w="851" w:type="dxa"/>
            <w:vAlign w:val="center"/>
          </w:tcPr>
          <w:p w:rsidR="003A7F9B" w:rsidRPr="00F45AFB" w:rsidRDefault="003A7F9B" w:rsidP="00043F6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45AFB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</w:p>
        </w:tc>
      </w:tr>
    </w:tbl>
    <w:p w:rsidR="00777644" w:rsidRPr="00067B23" w:rsidRDefault="00777644" w:rsidP="00A8149C">
      <w:pPr>
        <w:spacing w:before="120"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57369" w:rsidRDefault="00DC603C" w:rsidP="00E54B61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C603C">
        <w:rPr>
          <w:rFonts w:ascii="Times New Roman" w:hAnsi="Times New Roman" w:cs="Times New Roman"/>
          <w:sz w:val="28"/>
          <w:szCs w:val="28"/>
        </w:rPr>
        <w:t>С</w:t>
      </w:r>
      <w:r w:rsidR="0057050A" w:rsidRPr="00DC603C">
        <w:rPr>
          <w:rFonts w:ascii="Times New Roman" w:hAnsi="Times New Roman" w:cs="Times New Roman"/>
          <w:sz w:val="27"/>
          <w:szCs w:val="27"/>
        </w:rPr>
        <w:t>труктура</w:t>
      </w:r>
      <w:r w:rsidR="002E0CAE">
        <w:rPr>
          <w:rFonts w:ascii="Times New Roman" w:hAnsi="Times New Roman" w:cs="Times New Roman"/>
          <w:sz w:val="27"/>
          <w:szCs w:val="27"/>
        </w:rPr>
        <w:t xml:space="preserve"> </w:t>
      </w:r>
      <w:r w:rsidR="0057050A" w:rsidRPr="00DC603C">
        <w:rPr>
          <w:rFonts w:ascii="Times New Roman" w:hAnsi="Times New Roman" w:cs="Times New Roman"/>
          <w:sz w:val="27"/>
          <w:szCs w:val="27"/>
        </w:rPr>
        <w:t>выпадающих</w:t>
      </w:r>
      <w:r w:rsidR="002E0CAE">
        <w:rPr>
          <w:rFonts w:ascii="Times New Roman" w:hAnsi="Times New Roman" w:cs="Times New Roman"/>
          <w:sz w:val="27"/>
          <w:szCs w:val="27"/>
        </w:rPr>
        <w:t xml:space="preserve"> </w:t>
      </w:r>
      <w:r w:rsidR="0057050A" w:rsidRPr="00DC603C">
        <w:rPr>
          <w:rFonts w:ascii="Times New Roman" w:hAnsi="Times New Roman" w:cs="Times New Roman"/>
          <w:sz w:val="27"/>
          <w:szCs w:val="27"/>
        </w:rPr>
        <w:t>доходов от</w:t>
      </w:r>
      <w:r w:rsidR="002E0CAE">
        <w:rPr>
          <w:rFonts w:ascii="Times New Roman" w:hAnsi="Times New Roman" w:cs="Times New Roman"/>
          <w:sz w:val="27"/>
          <w:szCs w:val="27"/>
        </w:rPr>
        <w:t xml:space="preserve"> </w:t>
      </w:r>
      <w:r w:rsidR="0057050A" w:rsidRPr="00DC603C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="0057050A" w:rsidRPr="00067B23">
        <w:rPr>
          <w:rFonts w:ascii="Times New Roman" w:hAnsi="Times New Roman" w:cs="Times New Roman"/>
          <w:sz w:val="27"/>
          <w:szCs w:val="27"/>
        </w:rPr>
        <w:t xml:space="preserve">налоговых льгот </w:t>
      </w:r>
      <w:r w:rsidR="00F40176">
        <w:rPr>
          <w:rFonts w:ascii="Times New Roman" w:hAnsi="Times New Roman" w:cs="Times New Roman"/>
          <w:sz w:val="27"/>
          <w:szCs w:val="27"/>
        </w:rPr>
        <w:t xml:space="preserve">на территории Мурманской области </w:t>
      </w:r>
      <w:r w:rsidR="00524956" w:rsidRPr="00067B23">
        <w:rPr>
          <w:rFonts w:ascii="Times New Roman" w:hAnsi="Times New Roman" w:cs="Times New Roman"/>
          <w:sz w:val="27"/>
          <w:szCs w:val="27"/>
        </w:rPr>
        <w:t xml:space="preserve">по видам налогов в </w:t>
      </w:r>
      <w:r w:rsidR="00666D32" w:rsidRPr="00067B23">
        <w:rPr>
          <w:rFonts w:ascii="Times New Roman" w:hAnsi="Times New Roman" w:cs="Times New Roman"/>
          <w:sz w:val="27"/>
          <w:szCs w:val="27"/>
        </w:rPr>
        <w:t>2</w:t>
      </w:r>
      <w:r w:rsidR="00524956" w:rsidRPr="00067B23">
        <w:rPr>
          <w:rFonts w:ascii="Times New Roman" w:hAnsi="Times New Roman" w:cs="Times New Roman"/>
          <w:sz w:val="27"/>
          <w:szCs w:val="27"/>
        </w:rPr>
        <w:t>0</w:t>
      </w:r>
      <w:r w:rsidR="003A45E6">
        <w:rPr>
          <w:rFonts w:ascii="Times New Roman" w:hAnsi="Times New Roman" w:cs="Times New Roman"/>
          <w:sz w:val="27"/>
          <w:szCs w:val="27"/>
        </w:rPr>
        <w:t>2</w:t>
      </w:r>
      <w:r w:rsidR="00047E65">
        <w:rPr>
          <w:rFonts w:ascii="Times New Roman" w:hAnsi="Times New Roman" w:cs="Times New Roman"/>
          <w:sz w:val="27"/>
          <w:szCs w:val="27"/>
        </w:rPr>
        <w:t>2</w:t>
      </w:r>
      <w:r w:rsidR="00524956" w:rsidRPr="00067B23">
        <w:rPr>
          <w:rFonts w:ascii="Times New Roman" w:hAnsi="Times New Roman" w:cs="Times New Roman"/>
          <w:sz w:val="27"/>
          <w:szCs w:val="27"/>
        </w:rPr>
        <w:t xml:space="preserve"> год</w:t>
      </w:r>
      <w:r w:rsidR="008B4DAD">
        <w:rPr>
          <w:rFonts w:ascii="Times New Roman" w:hAnsi="Times New Roman" w:cs="Times New Roman"/>
          <w:sz w:val="27"/>
          <w:szCs w:val="27"/>
        </w:rPr>
        <w:t>у</w:t>
      </w:r>
      <w:r w:rsidR="002E0CAE">
        <w:rPr>
          <w:rFonts w:ascii="Times New Roman" w:hAnsi="Times New Roman" w:cs="Times New Roman"/>
          <w:sz w:val="27"/>
          <w:szCs w:val="27"/>
        </w:rPr>
        <w:t xml:space="preserve"> </w:t>
      </w:r>
      <w:r w:rsidR="0057050A" w:rsidRPr="00067B23">
        <w:rPr>
          <w:rFonts w:ascii="Times New Roman" w:hAnsi="Times New Roman" w:cs="Times New Roman"/>
          <w:sz w:val="27"/>
          <w:szCs w:val="27"/>
        </w:rPr>
        <w:t>представлена</w:t>
      </w:r>
      <w:r w:rsidR="002E0CAE">
        <w:rPr>
          <w:rFonts w:ascii="Times New Roman" w:hAnsi="Times New Roman" w:cs="Times New Roman"/>
          <w:sz w:val="27"/>
          <w:szCs w:val="27"/>
        </w:rPr>
        <w:t xml:space="preserve"> </w:t>
      </w:r>
      <w:r w:rsidR="0057050A" w:rsidRPr="00067B23">
        <w:rPr>
          <w:rFonts w:ascii="Times New Roman" w:hAnsi="Times New Roman" w:cs="Times New Roman"/>
          <w:sz w:val="27"/>
          <w:szCs w:val="27"/>
        </w:rPr>
        <w:t>на</w:t>
      </w:r>
      <w:r w:rsidR="002E0CAE">
        <w:rPr>
          <w:rFonts w:ascii="Times New Roman" w:hAnsi="Times New Roman" w:cs="Times New Roman"/>
          <w:sz w:val="27"/>
          <w:szCs w:val="27"/>
        </w:rPr>
        <w:t xml:space="preserve"> </w:t>
      </w:r>
      <w:r w:rsidR="00E53AAA">
        <w:rPr>
          <w:rFonts w:ascii="Times New Roman" w:hAnsi="Times New Roman" w:cs="Times New Roman"/>
          <w:sz w:val="27"/>
          <w:szCs w:val="27"/>
        </w:rPr>
        <w:t>рисунке 1</w:t>
      </w:r>
      <w:r w:rsidR="0057050A" w:rsidRPr="00067B23">
        <w:rPr>
          <w:rFonts w:ascii="Times New Roman" w:hAnsi="Times New Roman" w:cs="Times New Roman"/>
          <w:sz w:val="27"/>
          <w:szCs w:val="27"/>
        </w:rPr>
        <w:t>.</w:t>
      </w:r>
    </w:p>
    <w:p w:rsidR="00E53AAA" w:rsidRDefault="00E53AAA" w:rsidP="00E54B61">
      <w:pPr>
        <w:keepNext/>
        <w:spacing w:after="0"/>
        <w:ind w:left="-851"/>
        <w:jc w:val="both"/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</w:rPr>
      </w:pPr>
    </w:p>
    <w:p w:rsidR="00777644" w:rsidRDefault="00992F31" w:rsidP="00E53AAA">
      <w:pPr>
        <w:keepNext/>
        <w:spacing w:after="0" w:line="269" w:lineRule="auto"/>
        <w:ind w:left="-851"/>
        <w:jc w:val="both"/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</w:rPr>
      </w:pPr>
      <w:r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</w:rPr>
        <w:drawing>
          <wp:inline distT="0" distB="0" distL="0" distR="0">
            <wp:extent cx="6781800" cy="306705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53AAA" w:rsidRDefault="00E53AAA" w:rsidP="00E53AAA">
      <w:pPr>
        <w:spacing w:after="0" w:line="269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E53AAA">
        <w:rPr>
          <w:rFonts w:ascii="Times New Roman" w:hAnsi="Times New Roman" w:cs="Times New Roman"/>
          <w:sz w:val="21"/>
          <w:szCs w:val="21"/>
        </w:rPr>
        <w:t xml:space="preserve">Рис.1. Структура выпадающих доходов от предоставления налоговых льгот </w:t>
      </w:r>
    </w:p>
    <w:p w:rsidR="00657369" w:rsidRPr="00E53AAA" w:rsidRDefault="00A63522" w:rsidP="00E53AAA">
      <w:pPr>
        <w:spacing w:after="0" w:line="269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 территории Мурманской области </w:t>
      </w:r>
      <w:r w:rsidR="00E53AAA" w:rsidRPr="00E53AAA">
        <w:rPr>
          <w:rFonts w:ascii="Times New Roman" w:hAnsi="Times New Roman" w:cs="Times New Roman"/>
          <w:sz w:val="21"/>
          <w:szCs w:val="21"/>
        </w:rPr>
        <w:t>по видам налогов в 20</w:t>
      </w:r>
      <w:r w:rsidR="00B3722F">
        <w:rPr>
          <w:rFonts w:ascii="Times New Roman" w:hAnsi="Times New Roman" w:cs="Times New Roman"/>
          <w:sz w:val="21"/>
          <w:szCs w:val="21"/>
        </w:rPr>
        <w:t>2</w:t>
      </w:r>
      <w:r w:rsidR="00047E65">
        <w:rPr>
          <w:rFonts w:ascii="Times New Roman" w:hAnsi="Times New Roman" w:cs="Times New Roman"/>
          <w:sz w:val="21"/>
          <w:szCs w:val="21"/>
        </w:rPr>
        <w:t>2</w:t>
      </w:r>
      <w:r w:rsidR="00E53AAA" w:rsidRPr="00E53AAA">
        <w:rPr>
          <w:rFonts w:ascii="Times New Roman" w:hAnsi="Times New Roman" w:cs="Times New Roman"/>
          <w:sz w:val="21"/>
          <w:szCs w:val="21"/>
        </w:rPr>
        <w:t xml:space="preserve"> год</w:t>
      </w:r>
      <w:r w:rsidR="008B4DAD">
        <w:rPr>
          <w:rFonts w:ascii="Times New Roman" w:hAnsi="Times New Roman" w:cs="Times New Roman"/>
          <w:sz w:val="21"/>
          <w:szCs w:val="21"/>
        </w:rPr>
        <w:t>у</w:t>
      </w:r>
    </w:p>
    <w:p w:rsidR="00657369" w:rsidRDefault="00657369" w:rsidP="0097606A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7438" w:rsidRDefault="00BD1FCF" w:rsidP="0073743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253B">
        <w:rPr>
          <w:rFonts w:ascii="Times New Roman" w:hAnsi="Times New Roman" w:cs="Times New Roman"/>
          <w:sz w:val="27"/>
          <w:szCs w:val="27"/>
        </w:rPr>
        <w:t xml:space="preserve">Наибольший удельный вес в общем объеме налоговых </w:t>
      </w:r>
      <w:r w:rsidR="00C86AF7" w:rsidRPr="0007253B">
        <w:rPr>
          <w:rFonts w:ascii="Times New Roman" w:hAnsi="Times New Roman" w:cs="Times New Roman"/>
          <w:sz w:val="27"/>
          <w:szCs w:val="27"/>
        </w:rPr>
        <w:t xml:space="preserve">льгот, предоставленных </w:t>
      </w:r>
      <w:r w:rsidRPr="0007253B">
        <w:rPr>
          <w:rFonts w:ascii="Times New Roman" w:hAnsi="Times New Roman" w:cs="Times New Roman"/>
          <w:sz w:val="27"/>
          <w:szCs w:val="27"/>
        </w:rPr>
        <w:t>в</w:t>
      </w:r>
      <w:r w:rsidR="00604ED5" w:rsidRPr="0007253B">
        <w:rPr>
          <w:rFonts w:ascii="Times New Roman" w:hAnsi="Times New Roman" w:cs="Times New Roman"/>
          <w:sz w:val="27"/>
          <w:szCs w:val="27"/>
        </w:rPr>
        <w:t xml:space="preserve"> 20</w:t>
      </w:r>
      <w:r w:rsidR="00BC3B66" w:rsidRPr="0007253B">
        <w:rPr>
          <w:rFonts w:ascii="Times New Roman" w:hAnsi="Times New Roman" w:cs="Times New Roman"/>
          <w:sz w:val="27"/>
          <w:szCs w:val="27"/>
        </w:rPr>
        <w:t>2</w:t>
      </w:r>
      <w:r w:rsidR="00AC58C7">
        <w:rPr>
          <w:rFonts w:ascii="Times New Roman" w:hAnsi="Times New Roman" w:cs="Times New Roman"/>
          <w:sz w:val="27"/>
          <w:szCs w:val="27"/>
        </w:rPr>
        <w:t>2</w:t>
      </w:r>
      <w:r w:rsidR="00604ED5" w:rsidRPr="0007253B">
        <w:rPr>
          <w:rFonts w:ascii="Times New Roman" w:hAnsi="Times New Roman" w:cs="Times New Roman"/>
          <w:sz w:val="27"/>
          <w:szCs w:val="27"/>
        </w:rPr>
        <w:t xml:space="preserve"> году</w:t>
      </w:r>
      <w:r w:rsidR="00C86AF7" w:rsidRPr="0007253B">
        <w:rPr>
          <w:rFonts w:ascii="Times New Roman" w:hAnsi="Times New Roman" w:cs="Times New Roman"/>
          <w:sz w:val="27"/>
          <w:szCs w:val="27"/>
        </w:rPr>
        <w:t>,</w:t>
      </w:r>
      <w:r w:rsidR="00CA755F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C86AF7" w:rsidRPr="0007253B">
        <w:rPr>
          <w:rFonts w:ascii="Times New Roman" w:hAnsi="Times New Roman" w:cs="Times New Roman"/>
          <w:sz w:val="27"/>
          <w:szCs w:val="27"/>
        </w:rPr>
        <w:t xml:space="preserve">занимают льготы по </w:t>
      </w:r>
      <w:r w:rsidR="009A7A21">
        <w:rPr>
          <w:rFonts w:ascii="Times New Roman" w:hAnsi="Times New Roman" w:cs="Times New Roman"/>
          <w:sz w:val="27"/>
          <w:szCs w:val="27"/>
        </w:rPr>
        <w:t xml:space="preserve">налогу, взимаемому в связи с применением </w:t>
      </w:r>
      <w:r w:rsidR="00BC3B66" w:rsidRPr="0007253B">
        <w:rPr>
          <w:rFonts w:ascii="Times New Roman" w:hAnsi="Times New Roman" w:cs="Times New Roman"/>
          <w:sz w:val="27"/>
          <w:szCs w:val="27"/>
        </w:rPr>
        <w:t>УСН</w:t>
      </w:r>
      <w:r w:rsidR="00C86AF7" w:rsidRPr="0007253B">
        <w:rPr>
          <w:rFonts w:ascii="Times New Roman" w:hAnsi="Times New Roman" w:cs="Times New Roman"/>
          <w:sz w:val="27"/>
          <w:szCs w:val="27"/>
        </w:rPr>
        <w:t xml:space="preserve"> (</w:t>
      </w:r>
      <w:r w:rsidR="00AC58C7">
        <w:rPr>
          <w:rFonts w:ascii="Times New Roman" w:hAnsi="Times New Roman" w:cs="Times New Roman"/>
          <w:sz w:val="27"/>
          <w:szCs w:val="27"/>
        </w:rPr>
        <w:t>62,9 </w:t>
      </w:r>
      <w:r w:rsidR="00C86AF7" w:rsidRPr="0007253B">
        <w:rPr>
          <w:rFonts w:ascii="Times New Roman" w:hAnsi="Times New Roman" w:cs="Times New Roman"/>
          <w:sz w:val="27"/>
          <w:szCs w:val="27"/>
        </w:rPr>
        <w:t>%)</w:t>
      </w:r>
      <w:r w:rsidR="00A63522" w:rsidRPr="0007253B">
        <w:rPr>
          <w:rFonts w:ascii="Times New Roman" w:hAnsi="Times New Roman" w:cs="Times New Roman"/>
          <w:sz w:val="27"/>
          <w:szCs w:val="27"/>
        </w:rPr>
        <w:t xml:space="preserve">. </w:t>
      </w:r>
      <w:r w:rsidR="00712E8A" w:rsidRPr="0007253B">
        <w:rPr>
          <w:rFonts w:ascii="Times New Roman" w:hAnsi="Times New Roman" w:cs="Times New Roman"/>
          <w:sz w:val="27"/>
          <w:szCs w:val="27"/>
        </w:rPr>
        <w:t xml:space="preserve">Объем недополученных доходов консолидированного бюджета Мурманской области </w:t>
      </w:r>
      <w:r w:rsidR="008616CE" w:rsidRPr="0007253B">
        <w:rPr>
          <w:rFonts w:ascii="Times New Roman" w:hAnsi="Times New Roman" w:cs="Times New Roman"/>
          <w:sz w:val="27"/>
          <w:szCs w:val="27"/>
        </w:rPr>
        <w:t>по данному налогу</w:t>
      </w:r>
      <w:r w:rsidR="00CA755F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1A2B39" w:rsidRPr="0007253B">
        <w:rPr>
          <w:rFonts w:ascii="Times New Roman" w:hAnsi="Times New Roman" w:cs="Times New Roman"/>
          <w:sz w:val="27"/>
          <w:szCs w:val="27"/>
        </w:rPr>
        <w:t>увеличи</w:t>
      </w:r>
      <w:r w:rsidR="00712E8A" w:rsidRPr="0007253B">
        <w:rPr>
          <w:rFonts w:ascii="Times New Roman" w:hAnsi="Times New Roman" w:cs="Times New Roman"/>
          <w:sz w:val="27"/>
          <w:szCs w:val="27"/>
        </w:rPr>
        <w:t>лся</w:t>
      </w:r>
      <w:r w:rsidR="00F60EC4" w:rsidRPr="0007253B">
        <w:rPr>
          <w:rFonts w:ascii="Times New Roman" w:hAnsi="Times New Roman" w:cs="Times New Roman"/>
          <w:sz w:val="27"/>
          <w:szCs w:val="27"/>
        </w:rPr>
        <w:t xml:space="preserve"> по сравнению с 20</w:t>
      </w:r>
      <w:r w:rsidR="009A7A21">
        <w:rPr>
          <w:rFonts w:ascii="Times New Roman" w:hAnsi="Times New Roman" w:cs="Times New Roman"/>
          <w:sz w:val="27"/>
          <w:szCs w:val="27"/>
        </w:rPr>
        <w:t>2</w:t>
      </w:r>
      <w:r w:rsidR="00AC58C7">
        <w:rPr>
          <w:rFonts w:ascii="Times New Roman" w:hAnsi="Times New Roman" w:cs="Times New Roman"/>
          <w:sz w:val="27"/>
          <w:szCs w:val="27"/>
        </w:rPr>
        <w:t>1</w:t>
      </w:r>
      <w:r w:rsidR="00F60EC4" w:rsidRPr="0007253B">
        <w:rPr>
          <w:rFonts w:ascii="Times New Roman" w:hAnsi="Times New Roman" w:cs="Times New Roman"/>
          <w:sz w:val="27"/>
          <w:szCs w:val="27"/>
        </w:rPr>
        <w:t xml:space="preserve"> годом </w:t>
      </w:r>
      <w:r w:rsidR="002F2F49" w:rsidRPr="0007253B">
        <w:rPr>
          <w:rFonts w:ascii="Times New Roman" w:hAnsi="Times New Roman" w:cs="Times New Roman"/>
          <w:sz w:val="27"/>
          <w:szCs w:val="27"/>
        </w:rPr>
        <w:t xml:space="preserve">в </w:t>
      </w:r>
      <w:r w:rsidR="00AC58C7">
        <w:rPr>
          <w:rFonts w:ascii="Times New Roman" w:hAnsi="Times New Roman" w:cs="Times New Roman"/>
          <w:sz w:val="27"/>
          <w:szCs w:val="27"/>
        </w:rPr>
        <w:t>1,4</w:t>
      </w:r>
      <w:r w:rsidR="00A63522" w:rsidRPr="0007253B">
        <w:rPr>
          <w:rFonts w:ascii="Times New Roman" w:hAnsi="Times New Roman" w:cs="Times New Roman"/>
          <w:sz w:val="27"/>
          <w:szCs w:val="27"/>
        </w:rPr>
        <w:t xml:space="preserve"> раза (на </w:t>
      </w:r>
      <w:r w:rsidR="00AC58C7">
        <w:rPr>
          <w:rFonts w:ascii="Times New Roman" w:hAnsi="Times New Roman" w:cs="Times New Roman"/>
          <w:sz w:val="27"/>
          <w:szCs w:val="27"/>
        </w:rPr>
        <w:t>3,3</w:t>
      </w:r>
      <w:r w:rsidR="00CA755F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A63522" w:rsidRPr="0007253B">
        <w:rPr>
          <w:rFonts w:ascii="Times New Roman" w:hAnsi="Times New Roman" w:cs="Times New Roman"/>
          <w:sz w:val="27"/>
          <w:szCs w:val="27"/>
        </w:rPr>
        <w:t>млрд рублей</w:t>
      </w:r>
      <w:r w:rsidR="00F60EC4" w:rsidRPr="0007253B">
        <w:rPr>
          <w:rFonts w:ascii="Times New Roman" w:hAnsi="Times New Roman" w:cs="Times New Roman"/>
          <w:sz w:val="27"/>
          <w:szCs w:val="27"/>
        </w:rPr>
        <w:t>)</w:t>
      </w:r>
      <w:r w:rsidR="00CA755F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1A2B39" w:rsidRPr="0007253B">
        <w:rPr>
          <w:rFonts w:ascii="Times New Roman" w:hAnsi="Times New Roman" w:cs="Times New Roman"/>
          <w:sz w:val="27"/>
          <w:szCs w:val="27"/>
        </w:rPr>
        <w:t xml:space="preserve">в связи с </w:t>
      </w:r>
      <w:r w:rsidR="001A2B39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установлением на период </w:t>
      </w:r>
      <w:r w:rsidR="001A2B39" w:rsidRPr="00E76B0F">
        <w:rPr>
          <w:rStyle w:val="s2"/>
          <w:rFonts w:ascii="Times New Roman" w:hAnsi="Times New Roman" w:cs="Times New Roman"/>
          <w:sz w:val="27"/>
          <w:szCs w:val="27"/>
        </w:rPr>
        <w:t>2020-20</w:t>
      </w:r>
      <w:r w:rsidR="009A7A21" w:rsidRPr="00E76B0F">
        <w:rPr>
          <w:rStyle w:val="s2"/>
          <w:rFonts w:ascii="Times New Roman" w:hAnsi="Times New Roman" w:cs="Times New Roman"/>
          <w:sz w:val="27"/>
          <w:szCs w:val="27"/>
        </w:rPr>
        <w:t>25</w:t>
      </w:r>
      <w:r w:rsidR="001A2B39" w:rsidRPr="00E76B0F">
        <w:rPr>
          <w:rStyle w:val="s2"/>
          <w:rFonts w:ascii="Times New Roman" w:hAnsi="Times New Roman" w:cs="Times New Roman"/>
          <w:sz w:val="27"/>
          <w:szCs w:val="27"/>
        </w:rPr>
        <w:t xml:space="preserve"> годов максимально</w:t>
      </w:r>
      <w:r w:rsidR="001A2B39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 сниженных </w:t>
      </w:r>
      <w:r w:rsidR="00E62771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налоговых </w:t>
      </w:r>
      <w:r w:rsidR="001A2B39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ставок для налогоплательщиков, </w:t>
      </w:r>
      <w:r w:rsidR="008616CE" w:rsidRPr="00AC58C7">
        <w:rPr>
          <w:rStyle w:val="s2"/>
          <w:rFonts w:ascii="Times New Roman" w:hAnsi="Times New Roman" w:cs="Times New Roman"/>
          <w:sz w:val="27"/>
          <w:szCs w:val="27"/>
        </w:rPr>
        <w:t>зарегистрированных и</w:t>
      </w:r>
      <w:r w:rsidR="00CA755F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 </w:t>
      </w:r>
      <w:r w:rsidR="001A2B39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осуществляющих деятельность </w:t>
      </w:r>
      <w:r w:rsidR="00712E8A" w:rsidRPr="00AC58C7">
        <w:rPr>
          <w:rStyle w:val="s2"/>
          <w:rFonts w:ascii="Times New Roman" w:hAnsi="Times New Roman" w:cs="Times New Roman"/>
          <w:sz w:val="27"/>
          <w:szCs w:val="27"/>
        </w:rPr>
        <w:t>на территории</w:t>
      </w:r>
      <w:r w:rsidR="001A2B39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 Мурманской области, без ограничений по видам экономической деятельности</w:t>
      </w:r>
      <w:r w:rsidR="00E62771" w:rsidRPr="00AC58C7">
        <w:rPr>
          <w:rStyle w:val="s2"/>
          <w:rFonts w:ascii="Times New Roman" w:hAnsi="Times New Roman" w:cs="Times New Roman"/>
          <w:sz w:val="27"/>
          <w:szCs w:val="27"/>
        </w:rPr>
        <w:t>, в том числе резидентов Арктической зоны Российской Федерации</w:t>
      </w:r>
      <w:r w:rsidR="00A77F5D" w:rsidRPr="00AC58C7">
        <w:rPr>
          <w:rStyle w:val="s2"/>
          <w:rFonts w:ascii="Times New Roman" w:hAnsi="Times New Roman" w:cs="Times New Roman"/>
          <w:sz w:val="27"/>
          <w:szCs w:val="27"/>
        </w:rPr>
        <w:t xml:space="preserve"> (далее – АЗРФ)</w:t>
      </w:r>
      <w:r w:rsidR="00E62771" w:rsidRPr="00AC58C7">
        <w:rPr>
          <w:rStyle w:val="s2"/>
          <w:rFonts w:ascii="Times New Roman" w:hAnsi="Times New Roman" w:cs="Times New Roman"/>
          <w:sz w:val="27"/>
          <w:szCs w:val="27"/>
        </w:rPr>
        <w:t>.</w:t>
      </w:r>
      <w:r w:rsidR="00E62771">
        <w:rPr>
          <w:rStyle w:val="s2"/>
          <w:rFonts w:ascii="Times New Roman" w:hAnsi="Times New Roman" w:cs="Times New Roman"/>
          <w:sz w:val="27"/>
          <w:szCs w:val="27"/>
        </w:rPr>
        <w:t xml:space="preserve"> </w:t>
      </w:r>
      <w:r w:rsidR="00737438">
        <w:rPr>
          <w:rStyle w:val="s2"/>
          <w:rFonts w:ascii="Times New Roman" w:hAnsi="Times New Roman" w:cs="Times New Roman"/>
          <w:sz w:val="27"/>
          <w:szCs w:val="27"/>
        </w:rPr>
        <w:t xml:space="preserve">Количество налогоплательщиков, воспользовавшихся правом на применение налоговой льготы в 2022 году увеличилось на </w:t>
      </w:r>
      <w:r w:rsidR="00737438">
        <w:rPr>
          <w:rFonts w:ascii="Times New Roman" w:hAnsi="Times New Roman" w:cs="Times New Roman"/>
          <w:sz w:val="28"/>
          <w:szCs w:val="28"/>
        </w:rPr>
        <w:t>2,3 % по отношению к 2021 году (на 312 налогоплательщиков).</w:t>
      </w:r>
    </w:p>
    <w:p w:rsidR="00E13024" w:rsidRDefault="00E13024" w:rsidP="00FA5C62">
      <w:pPr>
        <w:spacing w:after="0"/>
        <w:ind w:firstLine="709"/>
        <w:jc w:val="both"/>
        <w:rPr>
          <w:rStyle w:val="s2"/>
          <w:rFonts w:ascii="Times New Roman" w:hAnsi="Times New Roman" w:cs="Times New Roman"/>
          <w:sz w:val="27"/>
          <w:szCs w:val="27"/>
        </w:rPr>
      </w:pPr>
      <w:r>
        <w:rPr>
          <w:rStyle w:val="s2"/>
          <w:rFonts w:ascii="Times New Roman" w:hAnsi="Times New Roman" w:cs="Times New Roman"/>
          <w:sz w:val="27"/>
          <w:szCs w:val="27"/>
        </w:rPr>
        <w:t xml:space="preserve">Продолжает оставаться востребованной налоговая льгота, предусмотренная для вновь зарегистрированных индивидуальных предпринимателей, осуществляющих </w:t>
      </w:r>
      <w:r w:rsidRPr="00FA5C62">
        <w:rPr>
          <w:rStyle w:val="s2"/>
          <w:rFonts w:ascii="Times New Roman" w:hAnsi="Times New Roman" w:cs="Times New Roman"/>
          <w:sz w:val="27"/>
          <w:szCs w:val="27"/>
        </w:rPr>
        <w:t xml:space="preserve">установленные Законом виды предпринимательской деятельности </w:t>
      </w:r>
      <w:r w:rsidR="00431F01">
        <w:rPr>
          <w:rStyle w:val="s2"/>
          <w:rFonts w:ascii="Times New Roman" w:hAnsi="Times New Roman" w:cs="Times New Roman"/>
          <w:sz w:val="27"/>
          <w:szCs w:val="27"/>
        </w:rPr>
        <w:t xml:space="preserve">в </w:t>
      </w:r>
      <w:r w:rsidRPr="00FA5C62">
        <w:rPr>
          <w:rStyle w:val="s2"/>
          <w:rFonts w:ascii="Times New Roman" w:hAnsi="Times New Roman" w:cs="Times New Roman"/>
          <w:sz w:val="27"/>
          <w:szCs w:val="27"/>
        </w:rPr>
        <w:t>производственной, социальной и (или) научной сферах, а также в сфере бытовых услуг населению</w:t>
      </w:r>
      <w:r>
        <w:rPr>
          <w:rStyle w:val="s2"/>
          <w:rFonts w:ascii="Times New Roman" w:hAnsi="Times New Roman" w:cs="Times New Roman"/>
          <w:sz w:val="27"/>
          <w:szCs w:val="27"/>
        </w:rPr>
        <w:t xml:space="preserve">, применяющих УСН или патентную систему налогообложения, </w:t>
      </w:r>
      <w:r w:rsidR="00431F01" w:rsidRPr="00AC58C7">
        <w:rPr>
          <w:rStyle w:val="s2"/>
          <w:rFonts w:ascii="Times New Roman" w:hAnsi="Times New Roman" w:cs="Times New Roman"/>
          <w:sz w:val="27"/>
          <w:szCs w:val="27"/>
        </w:rPr>
        <w:t>–</w:t>
      </w:r>
      <w:r w:rsidR="00431F01">
        <w:rPr>
          <w:rStyle w:val="s2"/>
          <w:rFonts w:ascii="Times New Roman" w:hAnsi="Times New Roman" w:cs="Times New Roman"/>
          <w:sz w:val="27"/>
          <w:szCs w:val="27"/>
        </w:rPr>
        <w:t xml:space="preserve"> </w:t>
      </w:r>
      <w:r w:rsidRPr="009A0DA1">
        <w:rPr>
          <w:rStyle w:val="s2"/>
          <w:rFonts w:ascii="Times New Roman" w:hAnsi="Times New Roman" w:cs="Times New Roman"/>
          <w:sz w:val="27"/>
          <w:szCs w:val="27"/>
        </w:rPr>
        <w:t>налогов</w:t>
      </w:r>
      <w:r>
        <w:rPr>
          <w:rStyle w:val="s2"/>
          <w:rFonts w:ascii="Times New Roman" w:hAnsi="Times New Roman" w:cs="Times New Roman"/>
          <w:sz w:val="27"/>
          <w:szCs w:val="27"/>
        </w:rPr>
        <w:t>ая</w:t>
      </w:r>
      <w:r w:rsidRPr="009A0DA1">
        <w:rPr>
          <w:rStyle w:val="s2"/>
          <w:rFonts w:ascii="Times New Roman" w:hAnsi="Times New Roman" w:cs="Times New Roman"/>
          <w:sz w:val="27"/>
          <w:szCs w:val="27"/>
        </w:rPr>
        <w:t xml:space="preserve"> ставк</w:t>
      </w:r>
      <w:r>
        <w:rPr>
          <w:rStyle w:val="s2"/>
          <w:rFonts w:ascii="Times New Roman" w:hAnsi="Times New Roman" w:cs="Times New Roman"/>
          <w:sz w:val="27"/>
          <w:szCs w:val="27"/>
        </w:rPr>
        <w:t>а</w:t>
      </w:r>
      <w:r w:rsidRPr="009A0DA1">
        <w:rPr>
          <w:rStyle w:val="s2"/>
          <w:rFonts w:ascii="Times New Roman" w:hAnsi="Times New Roman" w:cs="Times New Roman"/>
          <w:sz w:val="27"/>
          <w:szCs w:val="27"/>
        </w:rPr>
        <w:t xml:space="preserve"> в размере 0</w:t>
      </w:r>
      <w:r>
        <w:rPr>
          <w:rStyle w:val="s2"/>
          <w:rFonts w:ascii="Times New Roman" w:hAnsi="Times New Roman" w:cs="Times New Roman"/>
          <w:sz w:val="27"/>
          <w:szCs w:val="27"/>
        </w:rPr>
        <w:t xml:space="preserve"> </w:t>
      </w:r>
      <w:r w:rsidRPr="009A0DA1">
        <w:rPr>
          <w:rStyle w:val="s2"/>
          <w:rFonts w:ascii="Times New Roman" w:hAnsi="Times New Roman" w:cs="Times New Roman"/>
          <w:sz w:val="27"/>
          <w:szCs w:val="27"/>
        </w:rPr>
        <w:t>%</w:t>
      </w:r>
      <w:r>
        <w:rPr>
          <w:rStyle w:val="s2"/>
          <w:rFonts w:ascii="Times New Roman" w:hAnsi="Times New Roman" w:cs="Times New Roman"/>
          <w:sz w:val="27"/>
          <w:szCs w:val="27"/>
        </w:rPr>
        <w:t>. Количество получателей данной льготы</w:t>
      </w:r>
      <w:r w:rsidR="00431F01">
        <w:rPr>
          <w:rStyle w:val="s2"/>
          <w:rFonts w:ascii="Times New Roman" w:hAnsi="Times New Roman" w:cs="Times New Roman"/>
          <w:sz w:val="27"/>
          <w:szCs w:val="27"/>
        </w:rPr>
        <w:t xml:space="preserve"> </w:t>
      </w:r>
      <w:r>
        <w:rPr>
          <w:rStyle w:val="s2"/>
          <w:rFonts w:ascii="Times New Roman" w:hAnsi="Times New Roman" w:cs="Times New Roman"/>
          <w:sz w:val="27"/>
          <w:szCs w:val="27"/>
        </w:rPr>
        <w:t xml:space="preserve">в 2022 году составило 43 предпринимателя. </w:t>
      </w:r>
    </w:p>
    <w:p w:rsidR="00B6668E" w:rsidRDefault="00B6668E" w:rsidP="00B6668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253B">
        <w:rPr>
          <w:rFonts w:ascii="Times New Roman" w:hAnsi="Times New Roman" w:cs="Times New Roman"/>
          <w:sz w:val="27"/>
          <w:szCs w:val="27"/>
        </w:rPr>
        <w:t>Налоговые расходы, обусловленные предоставлением льгот по налогу на имущество организаций, в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07253B">
        <w:rPr>
          <w:rFonts w:ascii="Times New Roman" w:hAnsi="Times New Roman" w:cs="Times New Roman"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sz w:val="27"/>
          <w:szCs w:val="27"/>
        </w:rPr>
        <w:t xml:space="preserve">возросли в 2 </w:t>
      </w:r>
      <w:r w:rsidRPr="0007253B">
        <w:rPr>
          <w:rFonts w:ascii="Times New Roman" w:hAnsi="Times New Roman" w:cs="Times New Roman"/>
          <w:sz w:val="27"/>
          <w:szCs w:val="27"/>
        </w:rPr>
        <w:t xml:space="preserve">раза (на </w:t>
      </w:r>
      <w:r>
        <w:rPr>
          <w:rFonts w:ascii="Times New Roman" w:hAnsi="Times New Roman" w:cs="Times New Roman"/>
          <w:sz w:val="27"/>
          <w:szCs w:val="27"/>
        </w:rPr>
        <w:t>1,9</w:t>
      </w:r>
      <w:r w:rsidRPr="0007253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млрд</w:t>
      </w:r>
      <w:r w:rsidRPr="0007253B">
        <w:rPr>
          <w:rFonts w:ascii="Times New Roman" w:hAnsi="Times New Roman" w:cs="Times New Roman"/>
          <w:sz w:val="27"/>
          <w:szCs w:val="27"/>
        </w:rPr>
        <w:t xml:space="preserve"> рублей) по сравнению с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07253B">
        <w:rPr>
          <w:rFonts w:ascii="Times New Roman" w:hAnsi="Times New Roman" w:cs="Times New Roman"/>
          <w:sz w:val="27"/>
          <w:szCs w:val="27"/>
        </w:rPr>
        <w:t xml:space="preserve"> годом в результате увеличения </w:t>
      </w:r>
      <w:r>
        <w:rPr>
          <w:rFonts w:ascii="Times New Roman" w:hAnsi="Times New Roman" w:cs="Times New Roman"/>
          <w:sz w:val="27"/>
          <w:szCs w:val="27"/>
        </w:rPr>
        <w:t xml:space="preserve">объема государственной поддержки инвестиционной деятельности на территории Мурманской области при реализации стратегических, приоритетных инвестиционных проектов Мурманской области. </w:t>
      </w:r>
    </w:p>
    <w:p w:rsidR="00E62771" w:rsidRDefault="003C531F" w:rsidP="00E54B6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253B">
        <w:rPr>
          <w:rFonts w:ascii="Times New Roman" w:hAnsi="Times New Roman" w:cs="Times New Roman"/>
          <w:sz w:val="27"/>
          <w:szCs w:val="27"/>
        </w:rPr>
        <w:t>Величина льгот п</w:t>
      </w:r>
      <w:r w:rsidR="00357D8E" w:rsidRPr="0007253B">
        <w:rPr>
          <w:rFonts w:ascii="Times New Roman" w:hAnsi="Times New Roman" w:cs="Times New Roman"/>
          <w:sz w:val="27"/>
          <w:szCs w:val="27"/>
        </w:rPr>
        <w:t>о налогу на прибыль организаций</w:t>
      </w:r>
      <w:r w:rsidRPr="0007253B">
        <w:rPr>
          <w:rFonts w:ascii="Times New Roman" w:hAnsi="Times New Roman" w:cs="Times New Roman"/>
          <w:sz w:val="27"/>
          <w:szCs w:val="27"/>
        </w:rPr>
        <w:t xml:space="preserve"> в части сумм налога, зачисляемых в областной бюджет, в 20</w:t>
      </w:r>
      <w:r w:rsidR="000E114F" w:rsidRPr="0007253B">
        <w:rPr>
          <w:rFonts w:ascii="Times New Roman" w:hAnsi="Times New Roman" w:cs="Times New Roman"/>
          <w:sz w:val="27"/>
          <w:szCs w:val="27"/>
        </w:rPr>
        <w:t>2</w:t>
      </w:r>
      <w:r w:rsidR="00AC58C7">
        <w:rPr>
          <w:rFonts w:ascii="Times New Roman" w:hAnsi="Times New Roman" w:cs="Times New Roman"/>
          <w:sz w:val="27"/>
          <w:szCs w:val="27"/>
        </w:rPr>
        <w:t>2</w:t>
      </w:r>
      <w:r w:rsidRPr="0007253B">
        <w:rPr>
          <w:rFonts w:ascii="Times New Roman" w:hAnsi="Times New Roman" w:cs="Times New Roman"/>
          <w:sz w:val="27"/>
          <w:szCs w:val="27"/>
        </w:rPr>
        <w:t xml:space="preserve"> году </w:t>
      </w:r>
      <w:r w:rsidR="00F9400D" w:rsidRPr="0007253B">
        <w:rPr>
          <w:rFonts w:ascii="Times New Roman" w:hAnsi="Times New Roman" w:cs="Times New Roman"/>
          <w:sz w:val="27"/>
          <w:szCs w:val="27"/>
        </w:rPr>
        <w:t xml:space="preserve">по оценке </w:t>
      </w:r>
      <w:r w:rsidRPr="0007253B">
        <w:rPr>
          <w:rFonts w:ascii="Times New Roman" w:hAnsi="Times New Roman" w:cs="Times New Roman"/>
          <w:sz w:val="27"/>
          <w:szCs w:val="27"/>
        </w:rPr>
        <w:t xml:space="preserve">составила </w:t>
      </w:r>
      <w:r w:rsidR="00AC58C7">
        <w:rPr>
          <w:rFonts w:ascii="Times New Roman" w:hAnsi="Times New Roman" w:cs="Times New Roman"/>
          <w:sz w:val="27"/>
          <w:szCs w:val="27"/>
        </w:rPr>
        <w:t>2,6</w:t>
      </w:r>
      <w:r w:rsidR="00D80F1A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Pr="0007253B">
        <w:rPr>
          <w:rFonts w:ascii="Times New Roman" w:hAnsi="Times New Roman" w:cs="Times New Roman"/>
          <w:sz w:val="27"/>
          <w:szCs w:val="27"/>
        </w:rPr>
        <w:t>мл</w:t>
      </w:r>
      <w:r w:rsidR="000E114F" w:rsidRPr="0007253B">
        <w:rPr>
          <w:rFonts w:ascii="Times New Roman" w:hAnsi="Times New Roman" w:cs="Times New Roman"/>
          <w:sz w:val="27"/>
          <w:szCs w:val="27"/>
        </w:rPr>
        <w:t>рд</w:t>
      </w:r>
      <w:r w:rsidRPr="0007253B">
        <w:rPr>
          <w:rFonts w:ascii="Times New Roman" w:hAnsi="Times New Roman" w:cs="Times New Roman"/>
          <w:sz w:val="27"/>
          <w:szCs w:val="27"/>
        </w:rPr>
        <w:t xml:space="preserve"> рублей</w:t>
      </w:r>
      <w:r w:rsidR="00BE0F97" w:rsidRPr="0007253B">
        <w:rPr>
          <w:rFonts w:ascii="Times New Roman" w:hAnsi="Times New Roman" w:cs="Times New Roman"/>
          <w:sz w:val="27"/>
          <w:szCs w:val="27"/>
        </w:rPr>
        <w:t xml:space="preserve"> с ростом </w:t>
      </w:r>
      <w:r w:rsidR="00AC58C7">
        <w:rPr>
          <w:rFonts w:ascii="Times New Roman" w:hAnsi="Times New Roman" w:cs="Times New Roman"/>
          <w:sz w:val="27"/>
          <w:szCs w:val="27"/>
        </w:rPr>
        <w:t>в 2 раза</w:t>
      </w:r>
      <w:r w:rsidR="00E62771">
        <w:rPr>
          <w:rFonts w:ascii="Times New Roman" w:hAnsi="Times New Roman" w:cs="Times New Roman"/>
          <w:sz w:val="27"/>
          <w:szCs w:val="27"/>
        </w:rPr>
        <w:t xml:space="preserve"> (на </w:t>
      </w:r>
      <w:r w:rsidR="00AC58C7">
        <w:rPr>
          <w:rFonts w:ascii="Times New Roman" w:hAnsi="Times New Roman" w:cs="Times New Roman"/>
          <w:sz w:val="27"/>
          <w:szCs w:val="27"/>
        </w:rPr>
        <w:t>1,3</w:t>
      </w:r>
      <w:r w:rsidR="00E62771">
        <w:rPr>
          <w:rFonts w:ascii="Times New Roman" w:hAnsi="Times New Roman" w:cs="Times New Roman"/>
          <w:sz w:val="27"/>
          <w:szCs w:val="27"/>
        </w:rPr>
        <w:t xml:space="preserve"> </w:t>
      </w:r>
      <w:r w:rsidR="00AC58C7">
        <w:rPr>
          <w:rFonts w:ascii="Times New Roman" w:hAnsi="Times New Roman" w:cs="Times New Roman"/>
          <w:sz w:val="27"/>
          <w:szCs w:val="27"/>
        </w:rPr>
        <w:t xml:space="preserve">млрд </w:t>
      </w:r>
      <w:r w:rsidR="00E62771">
        <w:rPr>
          <w:rFonts w:ascii="Times New Roman" w:hAnsi="Times New Roman" w:cs="Times New Roman"/>
          <w:sz w:val="27"/>
          <w:szCs w:val="27"/>
        </w:rPr>
        <w:t>рублей)</w:t>
      </w:r>
      <w:r w:rsidR="00940278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BE0F97" w:rsidRPr="0007253B">
        <w:rPr>
          <w:rFonts w:ascii="Times New Roman" w:hAnsi="Times New Roman" w:cs="Times New Roman"/>
          <w:sz w:val="27"/>
          <w:szCs w:val="27"/>
        </w:rPr>
        <w:t>по отношению к 20</w:t>
      </w:r>
      <w:r w:rsidR="00E62771">
        <w:rPr>
          <w:rFonts w:ascii="Times New Roman" w:hAnsi="Times New Roman" w:cs="Times New Roman"/>
          <w:sz w:val="27"/>
          <w:szCs w:val="27"/>
        </w:rPr>
        <w:t>2</w:t>
      </w:r>
      <w:r w:rsidR="00AC58C7">
        <w:rPr>
          <w:rFonts w:ascii="Times New Roman" w:hAnsi="Times New Roman" w:cs="Times New Roman"/>
          <w:sz w:val="27"/>
          <w:szCs w:val="27"/>
        </w:rPr>
        <w:t>1</w:t>
      </w:r>
      <w:r w:rsidR="00BE0F97" w:rsidRPr="0007253B">
        <w:rPr>
          <w:rFonts w:ascii="Times New Roman" w:hAnsi="Times New Roman" w:cs="Times New Roman"/>
          <w:sz w:val="27"/>
          <w:szCs w:val="27"/>
        </w:rPr>
        <w:t xml:space="preserve"> году</w:t>
      </w:r>
      <w:r w:rsidR="00122450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A77F5D">
        <w:rPr>
          <w:rFonts w:ascii="Times New Roman" w:hAnsi="Times New Roman" w:cs="Times New Roman"/>
          <w:sz w:val="27"/>
          <w:szCs w:val="27"/>
        </w:rPr>
        <w:t xml:space="preserve">в связи </w:t>
      </w:r>
      <w:r w:rsidR="00A77F5D" w:rsidRPr="00A77F5D">
        <w:rPr>
          <w:rFonts w:ascii="Times New Roman" w:hAnsi="Times New Roman" w:cs="Times New Roman"/>
          <w:sz w:val="27"/>
          <w:szCs w:val="27"/>
        </w:rPr>
        <w:t>с введением с 01.01.202</w:t>
      </w:r>
      <w:r w:rsidR="00AC58C7">
        <w:rPr>
          <w:rFonts w:ascii="Times New Roman" w:hAnsi="Times New Roman" w:cs="Times New Roman"/>
          <w:sz w:val="27"/>
          <w:szCs w:val="27"/>
        </w:rPr>
        <w:t>2</w:t>
      </w:r>
      <w:r w:rsidR="00A77F5D" w:rsidRPr="00A77F5D">
        <w:rPr>
          <w:rFonts w:ascii="Times New Roman" w:hAnsi="Times New Roman" w:cs="Times New Roman"/>
          <w:sz w:val="27"/>
          <w:szCs w:val="27"/>
        </w:rPr>
        <w:t xml:space="preserve"> </w:t>
      </w:r>
      <w:r w:rsidR="00AC58C7">
        <w:rPr>
          <w:rFonts w:ascii="Times New Roman" w:hAnsi="Times New Roman" w:cs="Times New Roman"/>
          <w:sz w:val="27"/>
          <w:szCs w:val="27"/>
        </w:rPr>
        <w:t xml:space="preserve">механизма </w:t>
      </w:r>
      <w:r w:rsidR="008A6769">
        <w:rPr>
          <w:rFonts w:ascii="Times New Roman" w:hAnsi="Times New Roman" w:cs="Times New Roman"/>
          <w:sz w:val="27"/>
          <w:szCs w:val="27"/>
        </w:rPr>
        <w:t>инвестиционного налогового вычета по налогу на пр</w:t>
      </w:r>
      <w:r w:rsidR="00431F01">
        <w:rPr>
          <w:rFonts w:ascii="Times New Roman" w:hAnsi="Times New Roman" w:cs="Times New Roman"/>
          <w:sz w:val="27"/>
          <w:szCs w:val="27"/>
        </w:rPr>
        <w:t>ибыль организаций (далее – ИНВ). О</w:t>
      </w:r>
      <w:r w:rsidR="008A6769">
        <w:rPr>
          <w:rFonts w:ascii="Times New Roman" w:hAnsi="Times New Roman" w:cs="Times New Roman"/>
          <w:sz w:val="27"/>
          <w:szCs w:val="27"/>
        </w:rPr>
        <w:t xml:space="preserve">бъем недополученных доходов в ходе применения ИНВ в 2022 году составил 1,8 млрд рублей. </w:t>
      </w:r>
    </w:p>
    <w:p w:rsidR="00B6668E" w:rsidRDefault="00431F01" w:rsidP="00A756E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07253B">
        <w:rPr>
          <w:rFonts w:ascii="Times New Roman" w:hAnsi="Times New Roman" w:cs="Times New Roman"/>
          <w:sz w:val="27"/>
          <w:szCs w:val="27"/>
        </w:rPr>
        <w:t xml:space="preserve">о транспортному налогу </w:t>
      </w:r>
      <w:r w:rsidR="00F73C15" w:rsidRPr="0007253B">
        <w:rPr>
          <w:rFonts w:ascii="Times New Roman" w:hAnsi="Times New Roman" w:cs="Times New Roman"/>
          <w:sz w:val="27"/>
          <w:szCs w:val="27"/>
        </w:rPr>
        <w:t>по итогам 20</w:t>
      </w:r>
      <w:r w:rsidR="00B22961" w:rsidRPr="0007253B">
        <w:rPr>
          <w:rFonts w:ascii="Times New Roman" w:hAnsi="Times New Roman" w:cs="Times New Roman"/>
          <w:sz w:val="27"/>
          <w:szCs w:val="27"/>
        </w:rPr>
        <w:t>2</w:t>
      </w:r>
      <w:r w:rsidR="00FE7800">
        <w:rPr>
          <w:rFonts w:ascii="Times New Roman" w:hAnsi="Times New Roman" w:cs="Times New Roman"/>
          <w:sz w:val="27"/>
          <w:szCs w:val="27"/>
        </w:rPr>
        <w:t>2</w:t>
      </w:r>
      <w:r w:rsidR="00F73C15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Pr="0007253B">
        <w:rPr>
          <w:rFonts w:ascii="Times New Roman" w:hAnsi="Times New Roman" w:cs="Times New Roman"/>
          <w:sz w:val="27"/>
          <w:szCs w:val="27"/>
        </w:rPr>
        <w:t xml:space="preserve">года </w:t>
      </w:r>
      <w:r>
        <w:rPr>
          <w:rFonts w:ascii="Times New Roman" w:hAnsi="Times New Roman" w:cs="Times New Roman"/>
          <w:sz w:val="27"/>
          <w:szCs w:val="27"/>
        </w:rPr>
        <w:t>о</w:t>
      </w:r>
      <w:r w:rsidRPr="0007253B">
        <w:rPr>
          <w:rFonts w:ascii="Times New Roman" w:hAnsi="Times New Roman" w:cs="Times New Roman"/>
          <w:sz w:val="27"/>
          <w:szCs w:val="27"/>
        </w:rPr>
        <w:t xml:space="preserve">бъем предоставленных льгот </w:t>
      </w:r>
      <w:r w:rsidR="00323525" w:rsidRPr="0007253B">
        <w:rPr>
          <w:rFonts w:ascii="Times New Roman" w:hAnsi="Times New Roman" w:cs="Times New Roman"/>
          <w:sz w:val="27"/>
          <w:szCs w:val="27"/>
        </w:rPr>
        <w:t>у</w:t>
      </w:r>
      <w:r w:rsidR="009A0DA1">
        <w:rPr>
          <w:rFonts w:ascii="Times New Roman" w:hAnsi="Times New Roman" w:cs="Times New Roman"/>
          <w:sz w:val="27"/>
          <w:szCs w:val="27"/>
        </w:rPr>
        <w:t xml:space="preserve">величился </w:t>
      </w:r>
      <w:r w:rsidR="00FE7800">
        <w:rPr>
          <w:rFonts w:ascii="Times New Roman" w:hAnsi="Times New Roman" w:cs="Times New Roman"/>
          <w:sz w:val="27"/>
          <w:szCs w:val="27"/>
        </w:rPr>
        <w:t xml:space="preserve">в 1,7 раза </w:t>
      </w:r>
      <w:r w:rsidR="009A0DA1">
        <w:rPr>
          <w:rFonts w:ascii="Times New Roman" w:hAnsi="Times New Roman" w:cs="Times New Roman"/>
          <w:sz w:val="27"/>
          <w:szCs w:val="27"/>
        </w:rPr>
        <w:t xml:space="preserve">(на </w:t>
      </w:r>
      <w:r w:rsidR="00FE7800">
        <w:rPr>
          <w:rFonts w:ascii="Times New Roman" w:hAnsi="Times New Roman" w:cs="Times New Roman"/>
          <w:sz w:val="27"/>
          <w:szCs w:val="27"/>
        </w:rPr>
        <w:t>75,6</w:t>
      </w:r>
      <w:r w:rsidR="00323525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1C000A" w:rsidRPr="0007253B">
        <w:rPr>
          <w:rFonts w:ascii="Times New Roman" w:hAnsi="Times New Roman" w:cs="Times New Roman"/>
          <w:sz w:val="27"/>
          <w:szCs w:val="27"/>
        </w:rPr>
        <w:t>млн рублей)</w:t>
      </w:r>
      <w:r w:rsidR="00D80F1A" w:rsidRPr="0007253B">
        <w:rPr>
          <w:rFonts w:ascii="Times New Roman" w:hAnsi="Times New Roman" w:cs="Times New Roman"/>
          <w:sz w:val="27"/>
          <w:szCs w:val="27"/>
        </w:rPr>
        <w:t xml:space="preserve"> </w:t>
      </w:r>
      <w:r w:rsidR="009A0DA1">
        <w:rPr>
          <w:rFonts w:ascii="Times New Roman" w:hAnsi="Times New Roman" w:cs="Times New Roman"/>
          <w:sz w:val="27"/>
          <w:szCs w:val="27"/>
        </w:rPr>
        <w:t xml:space="preserve">в основном </w:t>
      </w:r>
      <w:r w:rsidR="009A0DA1" w:rsidRPr="009A0DA1">
        <w:rPr>
          <w:rFonts w:ascii="Times New Roman" w:hAnsi="Times New Roman" w:cs="Times New Roman"/>
          <w:sz w:val="27"/>
          <w:szCs w:val="27"/>
        </w:rPr>
        <w:t xml:space="preserve">за счет </w:t>
      </w:r>
      <w:r w:rsidR="009A0DA1">
        <w:rPr>
          <w:rFonts w:ascii="Times New Roman" w:hAnsi="Times New Roman" w:cs="Times New Roman"/>
          <w:sz w:val="27"/>
          <w:szCs w:val="27"/>
        </w:rPr>
        <w:t xml:space="preserve">увеличения количества налогоплательщиков – получателей </w:t>
      </w:r>
      <w:r w:rsidR="009A0DA1" w:rsidRPr="009A0DA1">
        <w:rPr>
          <w:rFonts w:ascii="Times New Roman" w:hAnsi="Times New Roman" w:cs="Times New Roman"/>
          <w:sz w:val="27"/>
          <w:szCs w:val="27"/>
        </w:rPr>
        <w:t>льгот</w:t>
      </w:r>
      <w:r w:rsidR="00A756EE">
        <w:rPr>
          <w:rFonts w:ascii="Times New Roman" w:hAnsi="Times New Roman" w:cs="Times New Roman"/>
          <w:sz w:val="27"/>
          <w:szCs w:val="27"/>
        </w:rPr>
        <w:t>, предусмотренных д</w:t>
      </w:r>
      <w:r w:rsidR="009A0DA1" w:rsidRPr="009A0DA1">
        <w:rPr>
          <w:rFonts w:ascii="Times New Roman" w:hAnsi="Times New Roman" w:cs="Times New Roman"/>
          <w:sz w:val="27"/>
          <w:szCs w:val="27"/>
        </w:rPr>
        <w:t>ля лиц, отнесенны</w:t>
      </w:r>
      <w:r>
        <w:rPr>
          <w:rFonts w:ascii="Times New Roman" w:hAnsi="Times New Roman" w:cs="Times New Roman"/>
          <w:sz w:val="27"/>
          <w:szCs w:val="27"/>
        </w:rPr>
        <w:t>х</w:t>
      </w:r>
      <w:r w:rsidR="009A0DA1" w:rsidRPr="009A0DA1">
        <w:rPr>
          <w:rFonts w:ascii="Times New Roman" w:hAnsi="Times New Roman" w:cs="Times New Roman"/>
          <w:sz w:val="27"/>
          <w:szCs w:val="27"/>
        </w:rPr>
        <w:t xml:space="preserve"> к категориям ветеранов Великой Отечественной войны,</w:t>
      </w:r>
      <w:r w:rsidR="00A756EE">
        <w:rPr>
          <w:rFonts w:ascii="Times New Roman" w:hAnsi="Times New Roman" w:cs="Times New Roman"/>
          <w:sz w:val="27"/>
          <w:szCs w:val="27"/>
        </w:rPr>
        <w:t xml:space="preserve"> </w:t>
      </w:r>
      <w:r w:rsidR="009A0DA1" w:rsidRPr="009A0DA1">
        <w:rPr>
          <w:rFonts w:ascii="Times New Roman" w:hAnsi="Times New Roman" w:cs="Times New Roman"/>
          <w:sz w:val="27"/>
          <w:szCs w:val="27"/>
        </w:rPr>
        <w:t>ветеранов боевых действий, инвалидов Великой Отечественной войны, инвалидов</w:t>
      </w:r>
      <w:r w:rsidR="00A756EE">
        <w:rPr>
          <w:rFonts w:ascii="Times New Roman" w:hAnsi="Times New Roman" w:cs="Times New Roman"/>
          <w:sz w:val="27"/>
          <w:szCs w:val="27"/>
        </w:rPr>
        <w:t xml:space="preserve"> </w:t>
      </w:r>
      <w:r w:rsidR="009A0DA1" w:rsidRPr="009A0DA1">
        <w:rPr>
          <w:rFonts w:ascii="Times New Roman" w:hAnsi="Times New Roman" w:cs="Times New Roman"/>
          <w:sz w:val="27"/>
          <w:szCs w:val="27"/>
        </w:rPr>
        <w:t>боевых действий</w:t>
      </w:r>
      <w:r w:rsidR="00A756EE">
        <w:rPr>
          <w:rFonts w:ascii="Times New Roman" w:hAnsi="Times New Roman" w:cs="Times New Roman"/>
          <w:sz w:val="27"/>
          <w:szCs w:val="27"/>
        </w:rPr>
        <w:t>, а также л</w:t>
      </w:r>
      <w:r w:rsidR="00A756EE" w:rsidRPr="00A756EE">
        <w:rPr>
          <w:rFonts w:ascii="Times New Roman" w:hAnsi="Times New Roman" w:cs="Times New Roman"/>
          <w:sz w:val="27"/>
          <w:szCs w:val="27"/>
        </w:rPr>
        <w:t>иц, получающи</w:t>
      </w:r>
      <w:r w:rsidR="00A756EE">
        <w:rPr>
          <w:rFonts w:ascii="Times New Roman" w:hAnsi="Times New Roman" w:cs="Times New Roman"/>
          <w:sz w:val="27"/>
          <w:szCs w:val="27"/>
        </w:rPr>
        <w:t>х</w:t>
      </w:r>
      <w:r w:rsidR="00A756EE" w:rsidRPr="00A756EE">
        <w:rPr>
          <w:rFonts w:ascii="Times New Roman" w:hAnsi="Times New Roman" w:cs="Times New Roman"/>
          <w:sz w:val="27"/>
          <w:szCs w:val="27"/>
        </w:rPr>
        <w:t xml:space="preserve"> пенсии (пенсии по старости, страховые пенсии (трудовые пенсии), пенсии для нетрудоспос</w:t>
      </w:r>
      <w:r w:rsidR="00A756EE">
        <w:rPr>
          <w:rFonts w:ascii="Times New Roman" w:hAnsi="Times New Roman" w:cs="Times New Roman"/>
          <w:sz w:val="27"/>
          <w:szCs w:val="27"/>
        </w:rPr>
        <w:t>обных лиц)</w:t>
      </w:r>
      <w:r>
        <w:rPr>
          <w:rFonts w:ascii="Times New Roman" w:hAnsi="Times New Roman" w:cs="Times New Roman"/>
          <w:sz w:val="27"/>
          <w:szCs w:val="27"/>
        </w:rPr>
        <w:t xml:space="preserve">, расширением </w:t>
      </w:r>
      <w:r w:rsidR="00987679" w:rsidRPr="00987679">
        <w:rPr>
          <w:rFonts w:ascii="Times New Roman" w:hAnsi="Times New Roman" w:cs="Times New Roman"/>
          <w:sz w:val="27"/>
          <w:szCs w:val="27"/>
        </w:rPr>
        <w:t xml:space="preserve">с 01.01.2022 </w:t>
      </w:r>
      <w:r w:rsidR="00FD084A" w:rsidRPr="00987679">
        <w:rPr>
          <w:rFonts w:ascii="Times New Roman" w:hAnsi="Times New Roman" w:cs="Times New Roman"/>
          <w:sz w:val="27"/>
          <w:szCs w:val="27"/>
        </w:rPr>
        <w:t>действия льготы для многодетных семей.</w:t>
      </w:r>
    </w:p>
    <w:p w:rsidR="00B6668E" w:rsidRDefault="00B6668E" w:rsidP="00A756E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756EE" w:rsidRPr="00A756EE" w:rsidRDefault="00A756EE" w:rsidP="00A756E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C48AC" w:rsidRDefault="004C48AC" w:rsidP="00CB57C4">
      <w:pPr>
        <w:spacing w:after="0" w:line="26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218C" w:rsidRDefault="007D218C" w:rsidP="00CB57C4">
      <w:pPr>
        <w:spacing w:after="0" w:line="269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3D17" w:rsidRPr="004C48AC" w:rsidRDefault="00CB57C4" w:rsidP="00CB57C4">
      <w:pPr>
        <w:spacing w:after="0" w:line="26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48AC">
        <w:rPr>
          <w:rFonts w:ascii="Times New Roman" w:hAnsi="Times New Roman" w:cs="Times New Roman"/>
          <w:sz w:val="24"/>
          <w:szCs w:val="24"/>
        </w:rPr>
        <w:t>Таблица № 2</w:t>
      </w:r>
    </w:p>
    <w:p w:rsidR="00837CBD" w:rsidRDefault="00177470" w:rsidP="00177470">
      <w:pPr>
        <w:spacing w:after="0" w:line="269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177470">
        <w:rPr>
          <w:rFonts w:ascii="Times New Roman" w:hAnsi="Times New Roman" w:cs="Times New Roman"/>
          <w:i/>
          <w:sz w:val="27"/>
          <w:szCs w:val="27"/>
        </w:rPr>
        <w:t>Структура выпадающих доходов</w:t>
      </w:r>
      <w:r w:rsidR="00837CBD">
        <w:rPr>
          <w:rFonts w:ascii="Times New Roman" w:hAnsi="Times New Roman" w:cs="Times New Roman"/>
          <w:i/>
          <w:sz w:val="27"/>
          <w:szCs w:val="27"/>
        </w:rPr>
        <w:t>, обусловленных</w:t>
      </w:r>
      <w:r w:rsidRPr="00177470">
        <w:rPr>
          <w:rFonts w:ascii="Times New Roman" w:hAnsi="Times New Roman" w:cs="Times New Roman"/>
          <w:i/>
          <w:sz w:val="27"/>
          <w:szCs w:val="27"/>
        </w:rPr>
        <w:t xml:space="preserve"> предоставлени</w:t>
      </w:r>
      <w:r w:rsidR="00837CBD">
        <w:rPr>
          <w:rFonts w:ascii="Times New Roman" w:hAnsi="Times New Roman" w:cs="Times New Roman"/>
          <w:i/>
          <w:sz w:val="27"/>
          <w:szCs w:val="27"/>
        </w:rPr>
        <w:t>ем</w:t>
      </w:r>
      <w:r w:rsidRPr="00177470">
        <w:rPr>
          <w:rFonts w:ascii="Times New Roman" w:hAnsi="Times New Roman" w:cs="Times New Roman"/>
          <w:i/>
          <w:sz w:val="27"/>
          <w:szCs w:val="27"/>
        </w:rPr>
        <w:t xml:space="preserve"> налоговых льгот на территории Мурманской области </w:t>
      </w:r>
      <w:r>
        <w:rPr>
          <w:rFonts w:ascii="Times New Roman" w:hAnsi="Times New Roman" w:cs="Times New Roman"/>
          <w:i/>
          <w:sz w:val="27"/>
          <w:szCs w:val="27"/>
        </w:rPr>
        <w:t>по ц</w:t>
      </w:r>
      <w:r w:rsidR="00B96F12">
        <w:rPr>
          <w:rFonts w:ascii="Times New Roman" w:hAnsi="Times New Roman" w:cs="Times New Roman"/>
          <w:i/>
          <w:sz w:val="27"/>
          <w:szCs w:val="27"/>
        </w:rPr>
        <w:t>елев</w:t>
      </w:r>
      <w:r>
        <w:rPr>
          <w:rFonts w:ascii="Times New Roman" w:hAnsi="Times New Roman" w:cs="Times New Roman"/>
          <w:i/>
          <w:sz w:val="27"/>
          <w:szCs w:val="27"/>
        </w:rPr>
        <w:t>ой</w:t>
      </w:r>
      <w:r w:rsidR="00B96F12">
        <w:rPr>
          <w:rFonts w:ascii="Times New Roman" w:hAnsi="Times New Roman" w:cs="Times New Roman"/>
          <w:i/>
          <w:sz w:val="27"/>
          <w:szCs w:val="27"/>
        </w:rPr>
        <w:t xml:space="preserve"> направленност</w:t>
      </w:r>
      <w:r>
        <w:rPr>
          <w:rFonts w:ascii="Times New Roman" w:hAnsi="Times New Roman" w:cs="Times New Roman"/>
          <w:i/>
          <w:sz w:val="27"/>
          <w:szCs w:val="27"/>
        </w:rPr>
        <w:t>и</w:t>
      </w:r>
      <w:r w:rsidR="00B96F12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2E5A30" w:rsidRDefault="00B96F12" w:rsidP="00177470">
      <w:pPr>
        <w:spacing w:after="0" w:line="269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в</w:t>
      </w:r>
      <w:r w:rsidR="002E5A30" w:rsidRPr="0004621E">
        <w:rPr>
          <w:rFonts w:ascii="Times New Roman" w:hAnsi="Times New Roman" w:cs="Times New Roman"/>
          <w:i/>
          <w:sz w:val="27"/>
          <w:szCs w:val="27"/>
        </w:rPr>
        <w:t xml:space="preserve"> 20</w:t>
      </w:r>
      <w:r w:rsidR="0056244A">
        <w:rPr>
          <w:rFonts w:ascii="Times New Roman" w:hAnsi="Times New Roman" w:cs="Times New Roman"/>
          <w:i/>
          <w:sz w:val="27"/>
          <w:szCs w:val="27"/>
        </w:rPr>
        <w:t>21-</w:t>
      </w:r>
      <w:r w:rsidR="002E5A30" w:rsidRPr="0004621E">
        <w:rPr>
          <w:rFonts w:ascii="Times New Roman" w:hAnsi="Times New Roman" w:cs="Times New Roman"/>
          <w:i/>
          <w:sz w:val="27"/>
          <w:szCs w:val="27"/>
        </w:rPr>
        <w:t>20</w:t>
      </w:r>
      <w:r w:rsidR="00F549C7">
        <w:rPr>
          <w:rFonts w:ascii="Times New Roman" w:hAnsi="Times New Roman" w:cs="Times New Roman"/>
          <w:i/>
          <w:sz w:val="27"/>
          <w:szCs w:val="27"/>
        </w:rPr>
        <w:t>2</w:t>
      </w:r>
      <w:r w:rsidR="0056244A">
        <w:rPr>
          <w:rFonts w:ascii="Times New Roman" w:hAnsi="Times New Roman" w:cs="Times New Roman"/>
          <w:i/>
          <w:sz w:val="27"/>
          <w:szCs w:val="27"/>
        </w:rPr>
        <w:t>2</w:t>
      </w:r>
      <w:r w:rsidR="0004621E" w:rsidRPr="0004621E">
        <w:rPr>
          <w:rFonts w:ascii="Times New Roman" w:hAnsi="Times New Roman" w:cs="Times New Roman"/>
          <w:i/>
          <w:sz w:val="27"/>
          <w:szCs w:val="27"/>
        </w:rPr>
        <w:t xml:space="preserve"> год</w:t>
      </w:r>
      <w:r>
        <w:rPr>
          <w:rFonts w:ascii="Times New Roman" w:hAnsi="Times New Roman" w:cs="Times New Roman"/>
          <w:i/>
          <w:sz w:val="27"/>
          <w:szCs w:val="27"/>
        </w:rPr>
        <w:t>ах</w:t>
      </w:r>
    </w:p>
    <w:p w:rsidR="00431F01" w:rsidRPr="00431F01" w:rsidRDefault="00431F01" w:rsidP="00177470">
      <w:pPr>
        <w:spacing w:after="0" w:line="269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53"/>
        <w:gridCol w:w="1370"/>
        <w:gridCol w:w="898"/>
        <w:gridCol w:w="1191"/>
        <w:gridCol w:w="992"/>
      </w:tblGrid>
      <w:tr w:rsidR="005021F0" w:rsidRPr="00D80F1A" w:rsidTr="005021F0">
        <w:trPr>
          <w:trHeight w:val="392"/>
        </w:trPr>
        <w:tc>
          <w:tcPr>
            <w:tcW w:w="5353" w:type="dxa"/>
            <w:vMerge w:val="restart"/>
            <w:vAlign w:val="center"/>
          </w:tcPr>
          <w:p w:rsidR="005021F0" w:rsidRPr="00D80F1A" w:rsidRDefault="005021F0" w:rsidP="003B5234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vAlign w:val="center"/>
          </w:tcPr>
          <w:p w:rsidR="005021F0" w:rsidRPr="00D80F1A" w:rsidRDefault="005021F0" w:rsidP="0056244A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0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62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80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83" w:type="dxa"/>
            <w:gridSpan w:val="2"/>
            <w:vAlign w:val="center"/>
          </w:tcPr>
          <w:p w:rsidR="005021F0" w:rsidRPr="005021F0" w:rsidRDefault="005021F0" w:rsidP="0056244A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D80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562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80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021F0" w:rsidRPr="00D80F1A" w:rsidTr="005021F0">
        <w:tc>
          <w:tcPr>
            <w:tcW w:w="5353" w:type="dxa"/>
            <w:vMerge/>
            <w:vAlign w:val="center"/>
          </w:tcPr>
          <w:p w:rsidR="005021F0" w:rsidRPr="00D80F1A" w:rsidRDefault="005021F0" w:rsidP="003B5234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70" w:type="dxa"/>
            <w:vAlign w:val="center"/>
          </w:tcPr>
          <w:p w:rsidR="005021F0" w:rsidRPr="00D80F1A" w:rsidRDefault="005021F0" w:rsidP="00ED1D58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>млн рублей</w:t>
            </w:r>
          </w:p>
        </w:tc>
        <w:tc>
          <w:tcPr>
            <w:tcW w:w="898" w:type="dxa"/>
            <w:vAlign w:val="center"/>
          </w:tcPr>
          <w:p w:rsidR="005021F0" w:rsidRPr="00D80F1A" w:rsidRDefault="005021F0" w:rsidP="00ED1D58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1" w:type="dxa"/>
            <w:vAlign w:val="center"/>
          </w:tcPr>
          <w:p w:rsidR="005021F0" w:rsidRDefault="005021F0" w:rsidP="00745509">
            <w:pPr>
              <w:spacing w:line="26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>лн</w:t>
            </w:r>
          </w:p>
          <w:p w:rsidR="005021F0" w:rsidRPr="00D80F1A" w:rsidRDefault="005021F0" w:rsidP="00745509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vAlign w:val="center"/>
          </w:tcPr>
          <w:p w:rsidR="005021F0" w:rsidRPr="00D80F1A" w:rsidRDefault="005021F0" w:rsidP="00745509">
            <w:pPr>
              <w:spacing w:line="269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21F0" w:rsidRPr="00D80F1A" w:rsidTr="005021F0">
        <w:tc>
          <w:tcPr>
            <w:tcW w:w="5353" w:type="dxa"/>
            <w:vAlign w:val="center"/>
          </w:tcPr>
          <w:p w:rsidR="005021F0" w:rsidRPr="00D80F1A" w:rsidRDefault="005021F0" w:rsidP="006604AE">
            <w:pPr>
              <w:spacing w:line="26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сумма налоговых льгот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4F33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10 845,2</w:t>
            </w:r>
          </w:p>
        </w:tc>
        <w:tc>
          <w:tcPr>
            <w:tcW w:w="898" w:type="dxa"/>
            <w:vAlign w:val="bottom"/>
          </w:tcPr>
          <w:p w:rsidR="005021F0" w:rsidRPr="00D80F1A" w:rsidRDefault="005021F0" w:rsidP="004F33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91" w:type="dxa"/>
            <w:vAlign w:val="bottom"/>
          </w:tcPr>
          <w:p w:rsidR="005021F0" w:rsidRPr="00D80F1A" w:rsidRDefault="005624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17 385,0</w:t>
            </w:r>
          </w:p>
        </w:tc>
        <w:tc>
          <w:tcPr>
            <w:tcW w:w="992" w:type="dxa"/>
            <w:vAlign w:val="bottom"/>
          </w:tcPr>
          <w:p w:rsidR="005021F0" w:rsidRPr="00D80F1A" w:rsidRDefault="005021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021F0" w:rsidRPr="005021F0" w:rsidTr="005021F0">
        <w:tc>
          <w:tcPr>
            <w:tcW w:w="5353" w:type="dxa"/>
            <w:vAlign w:val="center"/>
          </w:tcPr>
          <w:p w:rsidR="005021F0" w:rsidRPr="005021F0" w:rsidRDefault="005021F0" w:rsidP="003B5234">
            <w:pPr>
              <w:spacing w:line="269" w:lineRule="auto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5021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70" w:type="dxa"/>
            <w:vAlign w:val="bottom"/>
          </w:tcPr>
          <w:p w:rsidR="005021F0" w:rsidRPr="005021F0" w:rsidRDefault="0056244A" w:rsidP="0056244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217,8</w:t>
            </w:r>
          </w:p>
        </w:tc>
        <w:tc>
          <w:tcPr>
            <w:tcW w:w="898" w:type="dxa"/>
            <w:vAlign w:val="bottom"/>
          </w:tcPr>
          <w:p w:rsidR="005021F0" w:rsidRPr="005021F0" w:rsidRDefault="005021F0" w:rsidP="004F33FB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021F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91" w:type="dxa"/>
            <w:vAlign w:val="bottom"/>
          </w:tcPr>
          <w:p w:rsidR="005021F0" w:rsidRPr="005021F0" w:rsidRDefault="0056244A" w:rsidP="0097298A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160,3</w:t>
            </w:r>
          </w:p>
        </w:tc>
        <w:tc>
          <w:tcPr>
            <w:tcW w:w="992" w:type="dxa"/>
            <w:vAlign w:val="bottom"/>
          </w:tcPr>
          <w:p w:rsidR="005021F0" w:rsidRPr="005021F0" w:rsidRDefault="005021F0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021F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х</w:t>
            </w:r>
          </w:p>
        </w:tc>
      </w:tr>
      <w:tr w:rsidR="005021F0" w:rsidRPr="00D80F1A" w:rsidTr="005021F0">
        <w:tc>
          <w:tcPr>
            <w:tcW w:w="5353" w:type="dxa"/>
            <w:vAlign w:val="center"/>
          </w:tcPr>
          <w:p w:rsidR="005021F0" w:rsidRDefault="005021F0" w:rsidP="00ED1D58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sz w:val="24"/>
                <w:szCs w:val="24"/>
              </w:rPr>
              <w:t xml:space="preserve">- стимулирующие налоговые расходы </w:t>
            </w:r>
          </w:p>
          <w:p w:rsidR="005021F0" w:rsidRPr="00D80F1A" w:rsidRDefault="005021F0" w:rsidP="00ED1D58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sz w:val="24"/>
                <w:szCs w:val="24"/>
              </w:rPr>
              <w:t>(льготы, направленные на поддержку и развитие экономики)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0F22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10 695,9</w:t>
            </w:r>
          </w:p>
        </w:tc>
        <w:tc>
          <w:tcPr>
            <w:tcW w:w="898" w:type="dxa"/>
            <w:vAlign w:val="bottom"/>
          </w:tcPr>
          <w:p w:rsidR="005021F0" w:rsidRPr="00D80F1A" w:rsidRDefault="0056244A" w:rsidP="009729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191" w:type="dxa"/>
            <w:vAlign w:val="bottom"/>
          </w:tcPr>
          <w:p w:rsidR="005021F0" w:rsidRPr="00D80F1A" w:rsidRDefault="005624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17 141,2</w:t>
            </w:r>
          </w:p>
        </w:tc>
        <w:tc>
          <w:tcPr>
            <w:tcW w:w="992" w:type="dxa"/>
            <w:vAlign w:val="bottom"/>
          </w:tcPr>
          <w:p w:rsidR="005021F0" w:rsidRPr="00D80F1A" w:rsidRDefault="005021F0" w:rsidP="005624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82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</w:t>
            </w:r>
            <w:r w:rsidR="00562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021F0" w:rsidRPr="00D80F1A" w:rsidTr="005021F0">
        <w:tc>
          <w:tcPr>
            <w:tcW w:w="5353" w:type="dxa"/>
            <w:vAlign w:val="center"/>
          </w:tcPr>
          <w:p w:rsidR="005021F0" w:rsidRPr="00D80F1A" w:rsidRDefault="005021F0" w:rsidP="00ED1D58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4F33F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220,4</w:t>
            </w:r>
          </w:p>
        </w:tc>
        <w:tc>
          <w:tcPr>
            <w:tcW w:w="898" w:type="dxa"/>
            <w:vAlign w:val="bottom"/>
          </w:tcPr>
          <w:p w:rsidR="005021F0" w:rsidRPr="00D80F1A" w:rsidRDefault="005021F0" w:rsidP="004F33F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91" w:type="dxa"/>
            <w:vAlign w:val="bottom"/>
          </w:tcPr>
          <w:p w:rsidR="005021F0" w:rsidRPr="00D80F1A" w:rsidRDefault="0056244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160,3</w:t>
            </w:r>
          </w:p>
        </w:tc>
        <w:tc>
          <w:tcPr>
            <w:tcW w:w="992" w:type="dxa"/>
            <w:vAlign w:val="bottom"/>
          </w:tcPr>
          <w:p w:rsidR="005021F0" w:rsidRPr="00D80F1A" w:rsidRDefault="005021F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</w:tr>
      <w:tr w:rsidR="005021F0" w:rsidRPr="00D80F1A" w:rsidTr="005021F0">
        <w:tc>
          <w:tcPr>
            <w:tcW w:w="5353" w:type="dxa"/>
            <w:vAlign w:val="center"/>
          </w:tcPr>
          <w:p w:rsidR="005021F0" w:rsidRPr="00D80F1A" w:rsidRDefault="005021F0" w:rsidP="000F1D11">
            <w:pPr>
              <w:spacing w:line="26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социальные налоговые расходы 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4F33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113,4</w:t>
            </w:r>
          </w:p>
        </w:tc>
        <w:tc>
          <w:tcPr>
            <w:tcW w:w="898" w:type="dxa"/>
            <w:vAlign w:val="bottom"/>
          </w:tcPr>
          <w:p w:rsidR="005021F0" w:rsidRPr="00D80F1A" w:rsidRDefault="0056244A" w:rsidP="009729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91" w:type="dxa"/>
            <w:vAlign w:val="bottom"/>
          </w:tcPr>
          <w:p w:rsidR="005021F0" w:rsidRPr="00D80F1A" w:rsidRDefault="005624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186,8</w:t>
            </w:r>
          </w:p>
        </w:tc>
        <w:tc>
          <w:tcPr>
            <w:tcW w:w="992" w:type="dxa"/>
            <w:vAlign w:val="bottom"/>
          </w:tcPr>
          <w:p w:rsidR="005021F0" w:rsidRPr="00D80F1A" w:rsidRDefault="00982C4B" w:rsidP="005624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562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21F0" w:rsidRPr="00D80F1A" w:rsidTr="005021F0">
        <w:tc>
          <w:tcPr>
            <w:tcW w:w="5353" w:type="dxa"/>
            <w:vAlign w:val="center"/>
          </w:tcPr>
          <w:p w:rsidR="005021F0" w:rsidRPr="00D80F1A" w:rsidRDefault="005021F0" w:rsidP="003B5234">
            <w:pPr>
              <w:spacing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4F33F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898" w:type="dxa"/>
            <w:vAlign w:val="bottom"/>
          </w:tcPr>
          <w:p w:rsidR="005021F0" w:rsidRPr="00D80F1A" w:rsidRDefault="005021F0" w:rsidP="004F33F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91" w:type="dxa"/>
            <w:vAlign w:val="bottom"/>
          </w:tcPr>
          <w:p w:rsidR="005021F0" w:rsidRPr="00D80F1A" w:rsidRDefault="0056244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992" w:type="dxa"/>
            <w:vAlign w:val="bottom"/>
          </w:tcPr>
          <w:p w:rsidR="005021F0" w:rsidRPr="00D80F1A" w:rsidRDefault="005021F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</w:tr>
      <w:tr w:rsidR="005021F0" w:rsidRPr="00D80F1A" w:rsidTr="005021F0">
        <w:tc>
          <w:tcPr>
            <w:tcW w:w="5353" w:type="dxa"/>
          </w:tcPr>
          <w:p w:rsidR="005021F0" w:rsidRDefault="005021F0" w:rsidP="00ED1D58">
            <w:pPr>
              <w:spacing w:line="26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технические налоговые расходы </w:t>
            </w:r>
          </w:p>
          <w:p w:rsidR="005021F0" w:rsidRPr="00D80F1A" w:rsidRDefault="005021F0" w:rsidP="00ED1D58">
            <w:pPr>
              <w:spacing w:line="26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eastAsia="Times New Roman" w:hAnsi="Times New Roman" w:cs="Times New Roman"/>
                <w:sz w:val="24"/>
                <w:szCs w:val="24"/>
              </w:rPr>
              <w:t>(льготы, направленные на ликвидацию встречных финансовых потоков)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9729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898" w:type="dxa"/>
            <w:vAlign w:val="bottom"/>
          </w:tcPr>
          <w:p w:rsidR="005021F0" w:rsidRPr="00D80F1A" w:rsidRDefault="005021F0" w:rsidP="005624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562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1" w:type="dxa"/>
            <w:vAlign w:val="bottom"/>
          </w:tcPr>
          <w:p w:rsidR="005021F0" w:rsidRPr="00D80F1A" w:rsidRDefault="0056244A" w:rsidP="00F54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992" w:type="dxa"/>
            <w:vAlign w:val="bottom"/>
          </w:tcPr>
          <w:p w:rsidR="005021F0" w:rsidRPr="00D80F1A" w:rsidRDefault="005021F0" w:rsidP="00982C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982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021F0" w:rsidRPr="00D80F1A" w:rsidTr="005021F0">
        <w:tc>
          <w:tcPr>
            <w:tcW w:w="5353" w:type="dxa"/>
          </w:tcPr>
          <w:p w:rsidR="005021F0" w:rsidRPr="00D80F1A" w:rsidRDefault="005021F0" w:rsidP="00ED1D58">
            <w:pPr>
              <w:spacing w:line="26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80F1A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70" w:type="dxa"/>
            <w:vAlign w:val="bottom"/>
          </w:tcPr>
          <w:p w:rsidR="005021F0" w:rsidRPr="00D80F1A" w:rsidRDefault="0056244A" w:rsidP="004F33F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898" w:type="dxa"/>
            <w:vAlign w:val="bottom"/>
          </w:tcPr>
          <w:p w:rsidR="005021F0" w:rsidRPr="00D80F1A" w:rsidRDefault="005021F0" w:rsidP="004F33FB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91" w:type="dxa"/>
            <w:vAlign w:val="bottom"/>
          </w:tcPr>
          <w:p w:rsidR="005021F0" w:rsidRPr="00D80F1A" w:rsidRDefault="0056244A" w:rsidP="00F549C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992" w:type="dxa"/>
            <w:vAlign w:val="bottom"/>
          </w:tcPr>
          <w:p w:rsidR="005021F0" w:rsidRPr="00D80F1A" w:rsidRDefault="005021F0" w:rsidP="00F549C7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80F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х</w:t>
            </w:r>
          </w:p>
        </w:tc>
      </w:tr>
    </w:tbl>
    <w:p w:rsidR="003936CA" w:rsidRDefault="003936CA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C48AC" w:rsidRDefault="006604AE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52B0C">
        <w:rPr>
          <w:rFonts w:ascii="Times New Roman" w:hAnsi="Times New Roman" w:cs="Times New Roman"/>
          <w:sz w:val="27"/>
          <w:szCs w:val="27"/>
        </w:rPr>
        <w:t>Наибольш</w:t>
      </w:r>
      <w:r w:rsidR="00890674">
        <w:rPr>
          <w:rFonts w:ascii="Times New Roman" w:hAnsi="Times New Roman" w:cs="Times New Roman"/>
          <w:sz w:val="27"/>
          <w:szCs w:val="27"/>
        </w:rPr>
        <w:t>ую</w:t>
      </w:r>
      <w:r w:rsidRPr="00252B0C">
        <w:rPr>
          <w:rFonts w:ascii="Times New Roman" w:hAnsi="Times New Roman" w:cs="Times New Roman"/>
          <w:sz w:val="27"/>
          <w:szCs w:val="27"/>
        </w:rPr>
        <w:t xml:space="preserve"> </w:t>
      </w:r>
      <w:r w:rsidR="00890674">
        <w:rPr>
          <w:rFonts w:ascii="Times New Roman" w:hAnsi="Times New Roman" w:cs="Times New Roman"/>
          <w:sz w:val="27"/>
          <w:szCs w:val="27"/>
        </w:rPr>
        <w:t xml:space="preserve">долю в структуре </w:t>
      </w:r>
      <w:r w:rsidR="00890674" w:rsidRPr="00890674">
        <w:rPr>
          <w:rFonts w:ascii="Times New Roman" w:hAnsi="Times New Roman" w:cs="Times New Roman"/>
          <w:sz w:val="27"/>
          <w:szCs w:val="27"/>
        </w:rPr>
        <w:t>выпадающих доходов</w:t>
      </w:r>
      <w:r w:rsidR="00837CBD">
        <w:rPr>
          <w:rFonts w:ascii="Times New Roman" w:hAnsi="Times New Roman" w:cs="Times New Roman"/>
          <w:sz w:val="27"/>
          <w:szCs w:val="27"/>
        </w:rPr>
        <w:t xml:space="preserve">, обусловленных </w:t>
      </w:r>
      <w:r w:rsidR="00890674" w:rsidRPr="00890674">
        <w:rPr>
          <w:rFonts w:ascii="Times New Roman" w:hAnsi="Times New Roman" w:cs="Times New Roman"/>
          <w:sz w:val="27"/>
          <w:szCs w:val="27"/>
        </w:rPr>
        <w:t>предоставлени</w:t>
      </w:r>
      <w:r w:rsidR="00837CBD">
        <w:rPr>
          <w:rFonts w:ascii="Times New Roman" w:hAnsi="Times New Roman" w:cs="Times New Roman"/>
          <w:sz w:val="27"/>
          <w:szCs w:val="27"/>
        </w:rPr>
        <w:t>ем</w:t>
      </w:r>
      <w:r w:rsidR="00890674" w:rsidRPr="00890674">
        <w:rPr>
          <w:rFonts w:ascii="Times New Roman" w:hAnsi="Times New Roman" w:cs="Times New Roman"/>
          <w:sz w:val="27"/>
          <w:szCs w:val="27"/>
        </w:rPr>
        <w:t xml:space="preserve"> налоговых льгот на территории Мурманской области</w:t>
      </w:r>
      <w:r w:rsidR="00837CBD">
        <w:rPr>
          <w:rFonts w:ascii="Times New Roman" w:hAnsi="Times New Roman" w:cs="Times New Roman"/>
          <w:sz w:val="27"/>
          <w:szCs w:val="27"/>
        </w:rPr>
        <w:t>,</w:t>
      </w:r>
      <w:r w:rsidR="00890674">
        <w:rPr>
          <w:rFonts w:ascii="Times New Roman" w:hAnsi="Times New Roman" w:cs="Times New Roman"/>
          <w:sz w:val="27"/>
          <w:szCs w:val="27"/>
        </w:rPr>
        <w:t xml:space="preserve"> в 202</w:t>
      </w:r>
      <w:r w:rsidR="00044FD0">
        <w:rPr>
          <w:rFonts w:ascii="Times New Roman" w:hAnsi="Times New Roman" w:cs="Times New Roman"/>
          <w:sz w:val="27"/>
          <w:szCs w:val="27"/>
        </w:rPr>
        <w:t>2</w:t>
      </w:r>
      <w:r w:rsidR="00890674">
        <w:rPr>
          <w:rFonts w:ascii="Times New Roman" w:hAnsi="Times New Roman" w:cs="Times New Roman"/>
          <w:sz w:val="27"/>
          <w:szCs w:val="27"/>
        </w:rPr>
        <w:t xml:space="preserve"> году </w:t>
      </w:r>
      <w:r w:rsidRPr="00252B0C">
        <w:rPr>
          <w:rFonts w:ascii="Times New Roman" w:hAnsi="Times New Roman" w:cs="Times New Roman"/>
          <w:sz w:val="27"/>
          <w:szCs w:val="27"/>
        </w:rPr>
        <w:t xml:space="preserve">по-прежнему </w:t>
      </w:r>
      <w:r w:rsidR="00890674">
        <w:rPr>
          <w:rFonts w:ascii="Times New Roman" w:hAnsi="Times New Roman" w:cs="Times New Roman"/>
          <w:sz w:val="27"/>
          <w:szCs w:val="27"/>
        </w:rPr>
        <w:t xml:space="preserve">занимают </w:t>
      </w:r>
      <w:r w:rsidRPr="00252B0C">
        <w:rPr>
          <w:rFonts w:ascii="Times New Roman" w:hAnsi="Times New Roman" w:cs="Times New Roman"/>
          <w:sz w:val="27"/>
          <w:szCs w:val="27"/>
        </w:rPr>
        <w:t xml:space="preserve">стимулирующие налоговые расходы (направленные на поддержку </w:t>
      </w:r>
      <w:r w:rsidR="00890674">
        <w:rPr>
          <w:rFonts w:ascii="Times New Roman" w:hAnsi="Times New Roman" w:cs="Times New Roman"/>
          <w:sz w:val="27"/>
          <w:szCs w:val="27"/>
        </w:rPr>
        <w:t xml:space="preserve">и </w:t>
      </w:r>
      <w:r w:rsidRPr="00252B0C">
        <w:rPr>
          <w:rFonts w:ascii="Times New Roman" w:hAnsi="Times New Roman" w:cs="Times New Roman"/>
          <w:sz w:val="27"/>
          <w:szCs w:val="27"/>
        </w:rPr>
        <w:t>развити</w:t>
      </w:r>
      <w:r w:rsidR="00890674">
        <w:rPr>
          <w:rFonts w:ascii="Times New Roman" w:hAnsi="Times New Roman" w:cs="Times New Roman"/>
          <w:sz w:val="27"/>
          <w:szCs w:val="27"/>
        </w:rPr>
        <w:t>е</w:t>
      </w:r>
      <w:r w:rsidRPr="00252B0C">
        <w:rPr>
          <w:rFonts w:ascii="Times New Roman" w:hAnsi="Times New Roman" w:cs="Times New Roman"/>
          <w:sz w:val="27"/>
          <w:szCs w:val="27"/>
        </w:rPr>
        <w:t xml:space="preserve"> экономики) – </w:t>
      </w:r>
      <w:r w:rsidR="00890674">
        <w:rPr>
          <w:rFonts w:ascii="Times New Roman" w:hAnsi="Times New Roman" w:cs="Times New Roman"/>
          <w:sz w:val="27"/>
          <w:szCs w:val="27"/>
        </w:rPr>
        <w:t>98,</w:t>
      </w:r>
      <w:r w:rsidR="00044FD0">
        <w:rPr>
          <w:rFonts w:ascii="Times New Roman" w:hAnsi="Times New Roman" w:cs="Times New Roman"/>
          <w:sz w:val="27"/>
          <w:szCs w:val="27"/>
        </w:rPr>
        <w:t>6</w:t>
      </w:r>
      <w:r w:rsidR="00837CBD">
        <w:rPr>
          <w:rFonts w:ascii="Times New Roman" w:hAnsi="Times New Roman" w:cs="Times New Roman"/>
          <w:sz w:val="27"/>
          <w:szCs w:val="27"/>
        </w:rPr>
        <w:t> </w:t>
      </w:r>
      <w:r w:rsidRPr="00252B0C">
        <w:rPr>
          <w:rFonts w:ascii="Times New Roman" w:hAnsi="Times New Roman" w:cs="Times New Roman"/>
          <w:sz w:val="27"/>
          <w:szCs w:val="27"/>
        </w:rPr>
        <w:t>% от общего объе</w:t>
      </w:r>
      <w:r w:rsidR="00890674">
        <w:rPr>
          <w:rFonts w:ascii="Times New Roman" w:hAnsi="Times New Roman" w:cs="Times New Roman"/>
          <w:sz w:val="27"/>
          <w:szCs w:val="27"/>
        </w:rPr>
        <w:t xml:space="preserve">ма налоговых расходов, что прежде всего связано </w:t>
      </w:r>
      <w:r w:rsidR="00BD29BC">
        <w:rPr>
          <w:rFonts w:ascii="Times New Roman" w:hAnsi="Times New Roman" w:cs="Times New Roman"/>
          <w:sz w:val="27"/>
          <w:szCs w:val="27"/>
        </w:rPr>
        <w:t xml:space="preserve">с реализацией мер государственной поддержки малого и среднего предпринимательства, осуществлением </w:t>
      </w:r>
      <w:r w:rsidR="00837CBD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BD29BC" w:rsidRPr="00BD29BC">
        <w:rPr>
          <w:rFonts w:ascii="Times New Roman" w:hAnsi="Times New Roman" w:cs="Times New Roman"/>
          <w:sz w:val="27"/>
          <w:szCs w:val="27"/>
        </w:rPr>
        <w:t>в целях создания благоприятных условий для развития инвестиционной деятельности на территории Мурманской области</w:t>
      </w:r>
      <w:r w:rsidR="00837CBD">
        <w:rPr>
          <w:rFonts w:ascii="Times New Roman" w:hAnsi="Times New Roman" w:cs="Times New Roman"/>
          <w:sz w:val="27"/>
          <w:szCs w:val="27"/>
        </w:rPr>
        <w:t>.</w:t>
      </w:r>
      <w:r w:rsidRPr="000C461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0355" w:rsidRDefault="00BF1CB7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44FD0">
        <w:rPr>
          <w:rFonts w:ascii="Times New Roman" w:hAnsi="Times New Roman" w:cs="Times New Roman"/>
          <w:sz w:val="27"/>
          <w:szCs w:val="27"/>
        </w:rPr>
        <w:t>П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равом на получение «инвестиционных» налоговых льгот </w:t>
      </w:r>
      <w:r w:rsidRPr="00044FD0">
        <w:rPr>
          <w:rFonts w:ascii="Times New Roman" w:hAnsi="Times New Roman" w:cs="Times New Roman"/>
          <w:sz w:val="27"/>
          <w:szCs w:val="27"/>
        </w:rPr>
        <w:t>по налогу на прибыль организаций и налогу на имущество организаций в 202</w:t>
      </w:r>
      <w:r w:rsidR="002C23CB">
        <w:rPr>
          <w:rFonts w:ascii="Times New Roman" w:hAnsi="Times New Roman" w:cs="Times New Roman"/>
          <w:sz w:val="27"/>
          <w:szCs w:val="27"/>
        </w:rPr>
        <w:t>2</w:t>
      </w:r>
      <w:r w:rsidRPr="00044FD0">
        <w:rPr>
          <w:rFonts w:ascii="Times New Roman" w:hAnsi="Times New Roman" w:cs="Times New Roman"/>
          <w:sz w:val="27"/>
          <w:szCs w:val="27"/>
        </w:rPr>
        <w:t xml:space="preserve"> году 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воспользовались </w:t>
      </w:r>
      <w:r w:rsidR="002C23CB">
        <w:rPr>
          <w:rFonts w:ascii="Times New Roman" w:hAnsi="Times New Roman" w:cs="Times New Roman"/>
          <w:sz w:val="27"/>
          <w:szCs w:val="27"/>
        </w:rPr>
        <w:t>7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 налогоплательщиков (в </w:t>
      </w:r>
      <w:r w:rsidR="002C23CB">
        <w:rPr>
          <w:rFonts w:ascii="Times New Roman" w:hAnsi="Times New Roman" w:cs="Times New Roman"/>
          <w:sz w:val="27"/>
          <w:szCs w:val="27"/>
        </w:rPr>
        <w:t xml:space="preserve">2021 </w:t>
      </w:r>
      <w:r w:rsidR="00737438">
        <w:rPr>
          <w:rFonts w:ascii="Times New Roman" w:hAnsi="Times New Roman" w:cs="Times New Roman"/>
          <w:sz w:val="27"/>
          <w:szCs w:val="27"/>
        </w:rPr>
        <w:t xml:space="preserve">году 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– </w:t>
      </w:r>
      <w:r w:rsidR="002C23CB">
        <w:rPr>
          <w:rFonts w:ascii="Times New Roman" w:hAnsi="Times New Roman" w:cs="Times New Roman"/>
          <w:sz w:val="27"/>
          <w:szCs w:val="27"/>
        </w:rPr>
        <w:t>8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 организаций). Доля таких льгот составила </w:t>
      </w:r>
      <w:r w:rsidR="00620355">
        <w:rPr>
          <w:rFonts w:ascii="Times New Roman" w:hAnsi="Times New Roman" w:cs="Times New Roman"/>
          <w:sz w:val="27"/>
          <w:szCs w:val="27"/>
        </w:rPr>
        <w:t>3</w:t>
      </w:r>
      <w:r w:rsidR="00FC1835">
        <w:rPr>
          <w:rFonts w:ascii="Times New Roman" w:hAnsi="Times New Roman" w:cs="Times New Roman"/>
          <w:sz w:val="27"/>
          <w:szCs w:val="27"/>
        </w:rPr>
        <w:t>4</w:t>
      </w:r>
      <w:r w:rsidR="00620355">
        <w:rPr>
          <w:rFonts w:ascii="Times New Roman" w:hAnsi="Times New Roman" w:cs="Times New Roman"/>
          <w:sz w:val="27"/>
          <w:szCs w:val="27"/>
        </w:rPr>
        <w:t>,</w:t>
      </w:r>
      <w:r w:rsidR="00FC1835">
        <w:rPr>
          <w:rFonts w:ascii="Times New Roman" w:hAnsi="Times New Roman" w:cs="Times New Roman"/>
          <w:sz w:val="27"/>
          <w:szCs w:val="27"/>
        </w:rPr>
        <w:t>5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 % от общего объема налоговых расходов (в 20</w:t>
      </w:r>
      <w:r w:rsidR="00540C1E" w:rsidRPr="00044FD0">
        <w:rPr>
          <w:rFonts w:ascii="Times New Roman" w:hAnsi="Times New Roman" w:cs="Times New Roman"/>
          <w:sz w:val="27"/>
          <w:szCs w:val="27"/>
        </w:rPr>
        <w:t>2</w:t>
      </w:r>
      <w:r w:rsidR="00620355">
        <w:rPr>
          <w:rFonts w:ascii="Times New Roman" w:hAnsi="Times New Roman" w:cs="Times New Roman"/>
          <w:sz w:val="27"/>
          <w:szCs w:val="27"/>
        </w:rPr>
        <w:t>1</w:t>
      </w:r>
      <w:r w:rsidR="004C48AC" w:rsidRPr="00044FD0">
        <w:rPr>
          <w:rFonts w:ascii="Times New Roman" w:hAnsi="Times New Roman" w:cs="Times New Roman"/>
          <w:sz w:val="27"/>
          <w:szCs w:val="27"/>
        </w:rPr>
        <w:t xml:space="preserve"> году – </w:t>
      </w:r>
      <w:r w:rsidR="00620355">
        <w:rPr>
          <w:rFonts w:ascii="Times New Roman" w:hAnsi="Times New Roman" w:cs="Times New Roman"/>
          <w:sz w:val="27"/>
          <w:szCs w:val="27"/>
        </w:rPr>
        <w:t>27,3</w:t>
      </w:r>
      <w:r w:rsidR="00C551DF">
        <w:rPr>
          <w:rFonts w:ascii="Times New Roman" w:hAnsi="Times New Roman" w:cs="Times New Roman"/>
          <w:sz w:val="27"/>
          <w:szCs w:val="27"/>
        </w:rPr>
        <w:t> </w:t>
      </w:r>
      <w:r w:rsidR="004C48AC" w:rsidRPr="00044FD0">
        <w:rPr>
          <w:rFonts w:ascii="Times New Roman" w:hAnsi="Times New Roman" w:cs="Times New Roman"/>
          <w:sz w:val="27"/>
          <w:szCs w:val="27"/>
        </w:rPr>
        <w:t>%).</w:t>
      </w:r>
    </w:p>
    <w:p w:rsidR="00A900A1" w:rsidRPr="00A900A1" w:rsidRDefault="00BF1CB7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Доля социальных налоговых расходов в общем объеме выпадающих доходов бюджета Мурманской области от предоставления региональных налоговых льгот в отчетном году </w:t>
      </w:r>
      <w:r w:rsidR="000878EA">
        <w:rPr>
          <w:rFonts w:ascii="Times New Roman" w:hAnsi="Times New Roman" w:cs="Times New Roman"/>
          <w:sz w:val="27"/>
          <w:szCs w:val="27"/>
        </w:rPr>
        <w:t>незначительно увеличил</w:t>
      </w:r>
      <w:r w:rsidR="00C551DF">
        <w:rPr>
          <w:rFonts w:ascii="Times New Roman" w:hAnsi="Times New Roman" w:cs="Times New Roman"/>
          <w:sz w:val="27"/>
          <w:szCs w:val="27"/>
        </w:rPr>
        <w:t>а</w:t>
      </w:r>
      <w:r w:rsidR="000878EA">
        <w:rPr>
          <w:rFonts w:ascii="Times New Roman" w:hAnsi="Times New Roman" w:cs="Times New Roman"/>
          <w:sz w:val="27"/>
          <w:szCs w:val="27"/>
        </w:rPr>
        <w:t>сь</w:t>
      </w:r>
      <w:r>
        <w:rPr>
          <w:rFonts w:ascii="Times New Roman" w:hAnsi="Times New Roman" w:cs="Times New Roman"/>
          <w:sz w:val="27"/>
          <w:szCs w:val="27"/>
        </w:rPr>
        <w:t xml:space="preserve"> по отношению к 202</w:t>
      </w:r>
      <w:r w:rsidR="000878EA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году на </w:t>
      </w:r>
      <w:r w:rsidR="000878EA">
        <w:rPr>
          <w:rFonts w:ascii="Times New Roman" w:hAnsi="Times New Roman" w:cs="Times New Roman"/>
          <w:sz w:val="27"/>
          <w:szCs w:val="27"/>
        </w:rPr>
        <w:t>0,1</w:t>
      </w:r>
      <w:r>
        <w:rPr>
          <w:rFonts w:ascii="Times New Roman" w:hAnsi="Times New Roman" w:cs="Times New Roman"/>
          <w:sz w:val="27"/>
          <w:szCs w:val="27"/>
        </w:rPr>
        <w:t xml:space="preserve"> процентны</w:t>
      </w:r>
      <w:r w:rsidR="000878EA">
        <w:rPr>
          <w:rFonts w:ascii="Times New Roman" w:hAnsi="Times New Roman" w:cs="Times New Roman"/>
          <w:sz w:val="27"/>
          <w:szCs w:val="27"/>
        </w:rPr>
        <w:t>й</w:t>
      </w:r>
      <w:r>
        <w:rPr>
          <w:rFonts w:ascii="Times New Roman" w:hAnsi="Times New Roman" w:cs="Times New Roman"/>
          <w:sz w:val="27"/>
          <w:szCs w:val="27"/>
        </w:rPr>
        <w:t xml:space="preserve"> пункт и составила 1</w:t>
      </w:r>
      <w:r w:rsidR="000878EA">
        <w:rPr>
          <w:rFonts w:ascii="Times New Roman" w:hAnsi="Times New Roman" w:cs="Times New Roman"/>
          <w:sz w:val="27"/>
          <w:szCs w:val="27"/>
        </w:rPr>
        <w:t>,1</w:t>
      </w:r>
      <w:r>
        <w:rPr>
          <w:rFonts w:ascii="Times New Roman" w:hAnsi="Times New Roman" w:cs="Times New Roman"/>
          <w:sz w:val="27"/>
          <w:szCs w:val="27"/>
        </w:rPr>
        <w:t xml:space="preserve"> %. </w:t>
      </w:r>
      <w:r w:rsidR="000878EA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бъем социальных налоговых расходов увеличился </w:t>
      </w:r>
      <w:r w:rsidR="000878EA">
        <w:rPr>
          <w:rFonts w:ascii="Times New Roman" w:hAnsi="Times New Roman" w:cs="Times New Roman"/>
          <w:sz w:val="27"/>
          <w:szCs w:val="27"/>
        </w:rPr>
        <w:t>в 1,6 раза до 186,8</w:t>
      </w:r>
      <w:r>
        <w:rPr>
          <w:rFonts w:ascii="Times New Roman" w:hAnsi="Times New Roman" w:cs="Times New Roman"/>
          <w:sz w:val="27"/>
          <w:szCs w:val="27"/>
        </w:rPr>
        <w:t xml:space="preserve"> млн рублей</w:t>
      </w:r>
      <w:r w:rsidR="00C338AC" w:rsidRPr="00A900A1">
        <w:rPr>
          <w:rFonts w:ascii="Times New Roman" w:hAnsi="Times New Roman" w:cs="Times New Roman"/>
          <w:sz w:val="27"/>
          <w:szCs w:val="27"/>
        </w:rPr>
        <w:t xml:space="preserve"> </w:t>
      </w:r>
      <w:r w:rsidR="00A6644C" w:rsidRPr="00A900A1">
        <w:rPr>
          <w:rFonts w:ascii="Times New Roman" w:hAnsi="Times New Roman" w:cs="Times New Roman"/>
          <w:sz w:val="27"/>
          <w:szCs w:val="27"/>
        </w:rPr>
        <w:t>в основном</w:t>
      </w:r>
      <w:r w:rsidR="00DA3D1B">
        <w:rPr>
          <w:rFonts w:ascii="Times New Roman" w:hAnsi="Times New Roman" w:cs="Times New Roman"/>
          <w:sz w:val="27"/>
          <w:szCs w:val="27"/>
        </w:rPr>
        <w:t xml:space="preserve"> </w:t>
      </w:r>
      <w:r w:rsidR="00C338AC" w:rsidRPr="00A900A1">
        <w:rPr>
          <w:rFonts w:ascii="Times New Roman" w:hAnsi="Times New Roman" w:cs="Times New Roman"/>
          <w:sz w:val="27"/>
          <w:szCs w:val="27"/>
        </w:rPr>
        <w:t>за счет</w:t>
      </w:r>
      <w:r>
        <w:rPr>
          <w:rFonts w:ascii="Times New Roman" w:hAnsi="Times New Roman" w:cs="Times New Roman"/>
          <w:sz w:val="27"/>
          <w:szCs w:val="27"/>
        </w:rPr>
        <w:t xml:space="preserve"> роста </w:t>
      </w:r>
      <w:r w:rsidR="00C338AC" w:rsidRPr="00A900A1">
        <w:rPr>
          <w:rFonts w:ascii="Times New Roman" w:hAnsi="Times New Roman" w:cs="Times New Roman"/>
          <w:sz w:val="27"/>
          <w:szCs w:val="27"/>
        </w:rPr>
        <w:t>объем</w:t>
      </w:r>
      <w:r w:rsidR="004C608E" w:rsidRPr="00A900A1">
        <w:rPr>
          <w:rFonts w:ascii="Times New Roman" w:hAnsi="Times New Roman" w:cs="Times New Roman"/>
          <w:sz w:val="27"/>
          <w:szCs w:val="27"/>
        </w:rPr>
        <w:t xml:space="preserve">а льгот по транспортному налогу. </w:t>
      </w:r>
    </w:p>
    <w:p w:rsidR="000E3CF8" w:rsidRDefault="00BF1CB7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Технические </w:t>
      </w:r>
      <w:r w:rsidR="00CE40E2" w:rsidRPr="00A900A1">
        <w:rPr>
          <w:rFonts w:ascii="Times New Roman" w:hAnsi="Times New Roman" w:cs="Times New Roman"/>
          <w:sz w:val="27"/>
          <w:szCs w:val="27"/>
        </w:rPr>
        <w:t>налоговы</w:t>
      </w:r>
      <w:r>
        <w:rPr>
          <w:rFonts w:ascii="Times New Roman" w:hAnsi="Times New Roman" w:cs="Times New Roman"/>
          <w:sz w:val="27"/>
          <w:szCs w:val="27"/>
        </w:rPr>
        <w:t>е</w:t>
      </w:r>
      <w:r w:rsidR="003D015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расходы, обусловленные п</w:t>
      </w:r>
      <w:r w:rsidR="00C73A3F" w:rsidRPr="00A900A1">
        <w:rPr>
          <w:rFonts w:ascii="Times New Roman" w:hAnsi="Times New Roman" w:cs="Times New Roman"/>
          <w:sz w:val="27"/>
          <w:szCs w:val="27"/>
        </w:rPr>
        <w:t>редоставл</w:t>
      </w:r>
      <w:r>
        <w:rPr>
          <w:rFonts w:ascii="Times New Roman" w:hAnsi="Times New Roman" w:cs="Times New Roman"/>
          <w:sz w:val="27"/>
          <w:szCs w:val="27"/>
        </w:rPr>
        <w:t>ением налоговых льгот</w:t>
      </w:r>
      <w:r w:rsidR="003D015C">
        <w:rPr>
          <w:rFonts w:ascii="Times New Roman" w:hAnsi="Times New Roman" w:cs="Times New Roman"/>
          <w:sz w:val="27"/>
          <w:szCs w:val="27"/>
        </w:rPr>
        <w:t xml:space="preserve"> </w:t>
      </w:r>
      <w:r w:rsidR="002769AE" w:rsidRPr="00A900A1">
        <w:rPr>
          <w:rFonts w:ascii="Times New Roman" w:hAnsi="Times New Roman" w:cs="Times New Roman"/>
          <w:sz w:val="27"/>
          <w:szCs w:val="27"/>
        </w:rPr>
        <w:t xml:space="preserve">с </w:t>
      </w:r>
      <w:r w:rsidR="001E4A8C" w:rsidRPr="00A900A1">
        <w:rPr>
          <w:rFonts w:ascii="Times New Roman" w:hAnsi="Times New Roman" w:cs="Times New Roman"/>
          <w:sz w:val="27"/>
          <w:szCs w:val="27"/>
        </w:rPr>
        <w:t>целью сокращения расходов бюджета путем ликвидации встречных потоков</w:t>
      </w:r>
      <w:r w:rsidR="00533CCE" w:rsidRPr="00A900A1">
        <w:rPr>
          <w:rFonts w:ascii="Times New Roman" w:hAnsi="Times New Roman" w:cs="Times New Roman"/>
          <w:sz w:val="27"/>
          <w:szCs w:val="27"/>
        </w:rPr>
        <w:t>,</w:t>
      </w:r>
      <w:r w:rsidR="000E3CF8">
        <w:rPr>
          <w:rFonts w:ascii="Times New Roman" w:hAnsi="Times New Roman" w:cs="Times New Roman"/>
          <w:sz w:val="27"/>
          <w:szCs w:val="27"/>
        </w:rPr>
        <w:t xml:space="preserve"> </w:t>
      </w:r>
      <w:r w:rsidR="00C338AC" w:rsidRPr="00A900A1">
        <w:rPr>
          <w:rFonts w:ascii="Times New Roman" w:hAnsi="Times New Roman" w:cs="Times New Roman"/>
          <w:sz w:val="27"/>
          <w:szCs w:val="27"/>
        </w:rPr>
        <w:t>составил</w:t>
      </w:r>
      <w:r>
        <w:rPr>
          <w:rFonts w:ascii="Times New Roman" w:hAnsi="Times New Roman" w:cs="Times New Roman"/>
          <w:sz w:val="27"/>
          <w:szCs w:val="27"/>
        </w:rPr>
        <w:t>и</w:t>
      </w:r>
      <w:r w:rsidR="00A900A1" w:rsidRPr="00A900A1">
        <w:rPr>
          <w:rFonts w:ascii="Times New Roman" w:hAnsi="Times New Roman" w:cs="Times New Roman"/>
          <w:sz w:val="27"/>
          <w:szCs w:val="27"/>
        </w:rPr>
        <w:t xml:space="preserve"> </w:t>
      </w:r>
      <w:r w:rsidR="004A401D" w:rsidRPr="00A900A1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3</w:t>
      </w:r>
      <w:r w:rsidR="00533CCE" w:rsidRPr="00A900A1">
        <w:rPr>
          <w:rFonts w:ascii="Times New Roman" w:hAnsi="Times New Roman" w:cs="Times New Roman"/>
          <w:sz w:val="27"/>
          <w:szCs w:val="27"/>
        </w:rPr>
        <w:t> </w:t>
      </w:r>
      <w:r w:rsidR="00C338AC" w:rsidRPr="00A900A1">
        <w:rPr>
          <w:rFonts w:ascii="Times New Roman" w:hAnsi="Times New Roman" w:cs="Times New Roman"/>
          <w:sz w:val="27"/>
          <w:szCs w:val="27"/>
        </w:rPr>
        <w:t>%</w:t>
      </w:r>
      <w:r>
        <w:rPr>
          <w:rFonts w:ascii="Times New Roman" w:hAnsi="Times New Roman" w:cs="Times New Roman"/>
          <w:sz w:val="27"/>
          <w:szCs w:val="27"/>
        </w:rPr>
        <w:t xml:space="preserve"> в общем объеме налоговых расходов Мурманской области</w:t>
      </w:r>
      <w:r w:rsidR="000E3CF8">
        <w:rPr>
          <w:rFonts w:ascii="Times New Roman" w:hAnsi="Times New Roman" w:cs="Times New Roman"/>
          <w:sz w:val="27"/>
          <w:szCs w:val="27"/>
        </w:rPr>
        <w:t xml:space="preserve"> и остались на уровне 2021 года.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DC407C" w:rsidRPr="000C4611" w:rsidRDefault="00DC407C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635F">
        <w:rPr>
          <w:rFonts w:ascii="Times New Roman" w:hAnsi="Times New Roman" w:cs="Times New Roman"/>
          <w:sz w:val="27"/>
          <w:szCs w:val="27"/>
        </w:rPr>
        <w:t xml:space="preserve">Оценка эффективности налоговых расходов Мурманской области проведена </w:t>
      </w:r>
      <w:r w:rsidR="000E2624" w:rsidRPr="0046635F">
        <w:rPr>
          <w:rFonts w:ascii="Times New Roman" w:hAnsi="Times New Roman" w:cs="Times New Roman"/>
          <w:sz w:val="27"/>
          <w:szCs w:val="27"/>
        </w:rPr>
        <w:t>региональными</w:t>
      </w:r>
      <w:r w:rsidR="0046635F" w:rsidRPr="0046635F">
        <w:rPr>
          <w:rFonts w:ascii="Times New Roman" w:hAnsi="Times New Roman" w:cs="Times New Roman"/>
          <w:sz w:val="27"/>
          <w:szCs w:val="27"/>
        </w:rPr>
        <w:t xml:space="preserve"> </w:t>
      </w:r>
      <w:r w:rsidRPr="0046635F">
        <w:rPr>
          <w:rFonts w:ascii="Times New Roman" w:hAnsi="Times New Roman" w:cs="Times New Roman"/>
          <w:sz w:val="27"/>
          <w:szCs w:val="27"/>
        </w:rPr>
        <w:t xml:space="preserve">профильными </w:t>
      </w:r>
      <w:r w:rsidR="007D218C">
        <w:rPr>
          <w:rFonts w:ascii="Times New Roman" w:hAnsi="Times New Roman" w:cs="Times New Roman"/>
          <w:sz w:val="27"/>
          <w:szCs w:val="27"/>
        </w:rPr>
        <w:t>исполнительными органами Мурманской области – ку</w:t>
      </w:r>
      <w:r w:rsidRPr="0046635F">
        <w:rPr>
          <w:rFonts w:ascii="Times New Roman" w:hAnsi="Times New Roman" w:cs="Times New Roman"/>
          <w:sz w:val="27"/>
          <w:szCs w:val="27"/>
        </w:rPr>
        <w:t>раторами налоговых расходов.</w:t>
      </w:r>
    </w:p>
    <w:p w:rsidR="009313D4" w:rsidRPr="000C4611" w:rsidRDefault="00BB5611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4611">
        <w:rPr>
          <w:rFonts w:ascii="Times New Roman" w:hAnsi="Times New Roman" w:cs="Times New Roman"/>
          <w:sz w:val="27"/>
          <w:szCs w:val="27"/>
        </w:rPr>
        <w:t xml:space="preserve">По результатам проведенной оценки установлено соответствие большинства налоговых расходов Мурманской области </w:t>
      </w:r>
      <w:r w:rsidR="00562F3C" w:rsidRPr="000C4611">
        <w:rPr>
          <w:rFonts w:ascii="Times New Roman" w:hAnsi="Times New Roman" w:cs="Times New Roman"/>
          <w:sz w:val="27"/>
          <w:szCs w:val="27"/>
        </w:rPr>
        <w:t xml:space="preserve">целям </w:t>
      </w:r>
      <w:r w:rsidRPr="000C4611">
        <w:rPr>
          <w:rFonts w:ascii="Times New Roman" w:hAnsi="Times New Roman" w:cs="Times New Roman"/>
          <w:sz w:val="27"/>
          <w:szCs w:val="27"/>
        </w:rPr>
        <w:t xml:space="preserve">региональных </w:t>
      </w:r>
      <w:r w:rsidR="00562F3C" w:rsidRPr="000C4611">
        <w:rPr>
          <w:rFonts w:ascii="Times New Roman" w:hAnsi="Times New Roman" w:cs="Times New Roman"/>
          <w:sz w:val="27"/>
          <w:szCs w:val="27"/>
        </w:rPr>
        <w:t>государственны</w:t>
      </w:r>
      <w:r w:rsidRPr="000C4611">
        <w:rPr>
          <w:rFonts w:ascii="Times New Roman" w:hAnsi="Times New Roman" w:cs="Times New Roman"/>
          <w:sz w:val="27"/>
          <w:szCs w:val="27"/>
        </w:rPr>
        <w:t>х</w:t>
      </w:r>
      <w:r w:rsidR="00562F3C" w:rsidRPr="000C4611">
        <w:rPr>
          <w:rFonts w:ascii="Times New Roman" w:hAnsi="Times New Roman" w:cs="Times New Roman"/>
          <w:sz w:val="27"/>
          <w:szCs w:val="27"/>
        </w:rPr>
        <w:t xml:space="preserve"> программ</w:t>
      </w:r>
      <w:r w:rsidR="00A51FF7" w:rsidRPr="000C4611">
        <w:rPr>
          <w:rFonts w:ascii="Times New Roman" w:hAnsi="Times New Roman" w:cs="Times New Roman"/>
          <w:sz w:val="27"/>
          <w:szCs w:val="27"/>
        </w:rPr>
        <w:t>.</w:t>
      </w:r>
      <w:r w:rsidRPr="000C4611">
        <w:rPr>
          <w:rFonts w:ascii="Times New Roman" w:hAnsi="Times New Roman" w:cs="Times New Roman"/>
          <w:sz w:val="27"/>
          <w:szCs w:val="27"/>
        </w:rPr>
        <w:t xml:space="preserve"> По признанным эффективными востребованным стимулирующим и социальным налоговым расходам отмечается </w:t>
      </w:r>
      <w:r w:rsidR="00620355">
        <w:rPr>
          <w:rFonts w:ascii="Times New Roman" w:hAnsi="Times New Roman" w:cs="Times New Roman"/>
          <w:sz w:val="27"/>
          <w:szCs w:val="27"/>
        </w:rPr>
        <w:t>положительное влияние</w:t>
      </w:r>
      <w:r w:rsidR="00BC11B1">
        <w:rPr>
          <w:rFonts w:ascii="Times New Roman" w:hAnsi="Times New Roman" w:cs="Times New Roman"/>
          <w:sz w:val="27"/>
          <w:szCs w:val="27"/>
        </w:rPr>
        <w:t xml:space="preserve"> представленных льгот на достижение</w:t>
      </w:r>
      <w:r w:rsidRPr="000C4611">
        <w:rPr>
          <w:rFonts w:ascii="Times New Roman" w:hAnsi="Times New Roman" w:cs="Times New Roman"/>
          <w:sz w:val="27"/>
          <w:szCs w:val="27"/>
        </w:rPr>
        <w:t xml:space="preserve"> плановых значений целевых показателей соответствующих государственных программ Мурманской области. </w:t>
      </w:r>
    </w:p>
    <w:p w:rsidR="009313D4" w:rsidRPr="000C4611" w:rsidRDefault="009313D4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4611">
        <w:rPr>
          <w:rFonts w:ascii="Times New Roman" w:hAnsi="Times New Roman" w:cs="Times New Roman"/>
          <w:sz w:val="27"/>
          <w:szCs w:val="27"/>
        </w:rPr>
        <w:t>В целях оценки бюджетной эффективности налоговых расходов Мурманской области кураторами налоговых расходов осуществлен сравнительный анализ результативности предоставления налоговых льгот, образующих налоговые расходы Мурманской области, и результативности применения альтернативных механизмов достижения целей государственных программ Мурманской области, по результатам которого сделан вывод об эффективности соответствующих мер поддержки.</w:t>
      </w:r>
    </w:p>
    <w:p w:rsidR="007D218C" w:rsidRDefault="009313D4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C4611">
        <w:rPr>
          <w:rFonts w:ascii="Times New Roman" w:hAnsi="Times New Roman" w:cs="Times New Roman"/>
          <w:sz w:val="27"/>
          <w:szCs w:val="27"/>
        </w:rPr>
        <w:t>Исключение составля</w:t>
      </w:r>
      <w:r w:rsidR="005C3E8F">
        <w:rPr>
          <w:rFonts w:ascii="Times New Roman" w:hAnsi="Times New Roman" w:cs="Times New Roman"/>
          <w:sz w:val="27"/>
          <w:szCs w:val="27"/>
        </w:rPr>
        <w:t>ют отдельные категории стимулирующих налоговых</w:t>
      </w:r>
      <w:r w:rsidR="00DA3D1B">
        <w:rPr>
          <w:rFonts w:ascii="Times New Roman" w:hAnsi="Times New Roman" w:cs="Times New Roman"/>
          <w:sz w:val="27"/>
          <w:szCs w:val="27"/>
        </w:rPr>
        <w:t xml:space="preserve"> </w:t>
      </w:r>
      <w:r w:rsidR="00BB5611" w:rsidRPr="000C4611">
        <w:rPr>
          <w:rFonts w:ascii="Times New Roman" w:hAnsi="Times New Roman" w:cs="Times New Roman"/>
          <w:sz w:val="27"/>
          <w:szCs w:val="27"/>
        </w:rPr>
        <w:t>льг</w:t>
      </w:r>
      <w:r w:rsidR="005C3E8F">
        <w:rPr>
          <w:rFonts w:ascii="Times New Roman" w:hAnsi="Times New Roman" w:cs="Times New Roman"/>
          <w:sz w:val="27"/>
          <w:szCs w:val="27"/>
        </w:rPr>
        <w:t>о</w:t>
      </w:r>
      <w:r w:rsidR="00BB5611" w:rsidRPr="000C4611">
        <w:rPr>
          <w:rFonts w:ascii="Times New Roman" w:hAnsi="Times New Roman" w:cs="Times New Roman"/>
          <w:sz w:val="27"/>
          <w:szCs w:val="27"/>
        </w:rPr>
        <w:t>т</w:t>
      </w:r>
      <w:r w:rsidR="005C3E8F">
        <w:rPr>
          <w:rFonts w:ascii="Times New Roman" w:hAnsi="Times New Roman" w:cs="Times New Roman"/>
          <w:sz w:val="27"/>
          <w:szCs w:val="27"/>
        </w:rPr>
        <w:t xml:space="preserve"> по налогу </w:t>
      </w:r>
      <w:r w:rsidR="007D218C">
        <w:rPr>
          <w:rFonts w:ascii="Times New Roman" w:hAnsi="Times New Roman" w:cs="Times New Roman"/>
          <w:sz w:val="27"/>
          <w:szCs w:val="27"/>
        </w:rPr>
        <w:t xml:space="preserve">на прибыль организаций и налогу </w:t>
      </w:r>
      <w:r w:rsidR="005C3E8F">
        <w:rPr>
          <w:rFonts w:ascii="Times New Roman" w:hAnsi="Times New Roman" w:cs="Times New Roman"/>
          <w:sz w:val="27"/>
          <w:szCs w:val="27"/>
        </w:rPr>
        <w:t>на имущество организаций</w:t>
      </w:r>
      <w:r w:rsidR="007D218C">
        <w:rPr>
          <w:rFonts w:ascii="Times New Roman" w:hAnsi="Times New Roman" w:cs="Times New Roman"/>
          <w:sz w:val="27"/>
          <w:szCs w:val="27"/>
        </w:rPr>
        <w:t>, предоставленных организациям, реализующим стратегические, приоритетные инвестиционные проекты Мурманской области</w:t>
      </w:r>
      <w:r w:rsidR="00CC5189">
        <w:rPr>
          <w:rFonts w:ascii="Times New Roman" w:hAnsi="Times New Roman" w:cs="Times New Roman"/>
          <w:sz w:val="27"/>
          <w:szCs w:val="27"/>
        </w:rPr>
        <w:t xml:space="preserve">, а также резидентам АЗРФ. </w:t>
      </w:r>
      <w:r w:rsidR="005C3E8F">
        <w:rPr>
          <w:rFonts w:ascii="Times New Roman" w:hAnsi="Times New Roman" w:cs="Times New Roman"/>
          <w:sz w:val="27"/>
          <w:szCs w:val="27"/>
        </w:rPr>
        <w:t>С</w:t>
      </w:r>
      <w:r w:rsidR="00BB5611" w:rsidRPr="000C4611">
        <w:rPr>
          <w:rFonts w:ascii="Times New Roman" w:hAnsi="Times New Roman" w:cs="Times New Roman"/>
          <w:sz w:val="27"/>
          <w:szCs w:val="27"/>
        </w:rPr>
        <w:t>овокупный бюджетный эффект данн</w:t>
      </w:r>
      <w:r w:rsidR="005C3E8F">
        <w:rPr>
          <w:rFonts w:ascii="Times New Roman" w:hAnsi="Times New Roman" w:cs="Times New Roman"/>
          <w:sz w:val="27"/>
          <w:szCs w:val="27"/>
        </w:rPr>
        <w:t>ых</w:t>
      </w:r>
      <w:r w:rsidR="00BB5611" w:rsidRPr="000C4611">
        <w:rPr>
          <w:rFonts w:ascii="Times New Roman" w:hAnsi="Times New Roman" w:cs="Times New Roman"/>
          <w:sz w:val="27"/>
          <w:szCs w:val="27"/>
        </w:rPr>
        <w:t xml:space="preserve"> налогов</w:t>
      </w:r>
      <w:r w:rsidR="005C3E8F">
        <w:rPr>
          <w:rFonts w:ascii="Times New Roman" w:hAnsi="Times New Roman" w:cs="Times New Roman"/>
          <w:sz w:val="27"/>
          <w:szCs w:val="27"/>
        </w:rPr>
        <w:t>ых</w:t>
      </w:r>
      <w:r w:rsidR="00BB5611" w:rsidRPr="000C4611">
        <w:rPr>
          <w:rFonts w:ascii="Times New Roman" w:hAnsi="Times New Roman" w:cs="Times New Roman"/>
          <w:sz w:val="27"/>
          <w:szCs w:val="27"/>
        </w:rPr>
        <w:t xml:space="preserve"> льгот за 20</w:t>
      </w:r>
      <w:r w:rsidR="000E3CF8">
        <w:rPr>
          <w:rFonts w:ascii="Times New Roman" w:hAnsi="Times New Roman" w:cs="Times New Roman"/>
          <w:sz w:val="27"/>
          <w:szCs w:val="27"/>
        </w:rPr>
        <w:t>21</w:t>
      </w:r>
      <w:r w:rsidR="00BB5611" w:rsidRPr="000C4611">
        <w:rPr>
          <w:rFonts w:ascii="Times New Roman" w:hAnsi="Times New Roman" w:cs="Times New Roman"/>
          <w:sz w:val="27"/>
          <w:szCs w:val="27"/>
        </w:rPr>
        <w:t xml:space="preserve"> год, </w:t>
      </w:r>
      <w:r w:rsidR="00562B02" w:rsidRPr="000C4611">
        <w:rPr>
          <w:rFonts w:ascii="Times New Roman" w:hAnsi="Times New Roman" w:cs="Times New Roman"/>
          <w:sz w:val="27"/>
          <w:szCs w:val="27"/>
        </w:rPr>
        <w:t xml:space="preserve">рассчитанный в соответствии с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22.06.2019 № 796, принимает отрицательное значение. </w:t>
      </w:r>
    </w:p>
    <w:p w:rsidR="007D218C" w:rsidRDefault="00CC5189" w:rsidP="007D218C">
      <w:pPr>
        <w:pStyle w:val="ae"/>
        <w:spacing w:after="0" w:line="276" w:lineRule="auto"/>
        <w:ind w:right="-28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причин является</w:t>
      </w:r>
      <w:r w:rsidR="007D218C">
        <w:rPr>
          <w:sz w:val="28"/>
          <w:szCs w:val="28"/>
        </w:rPr>
        <w:t xml:space="preserve"> </w:t>
      </w:r>
      <w:r w:rsidR="00737438">
        <w:rPr>
          <w:sz w:val="28"/>
          <w:szCs w:val="28"/>
        </w:rPr>
        <w:t xml:space="preserve">эффект </w:t>
      </w:r>
      <w:r w:rsidR="007D218C">
        <w:rPr>
          <w:sz w:val="28"/>
          <w:szCs w:val="28"/>
        </w:rPr>
        <w:t xml:space="preserve">высокой налоговой базы организаций, реализующих инвестиционные проекты на территории Мурманской области, в году, </w:t>
      </w:r>
      <w:r w:rsidR="007D218C" w:rsidRPr="00835142">
        <w:rPr>
          <w:sz w:val="28"/>
          <w:szCs w:val="28"/>
        </w:rPr>
        <w:t>предшествующем году начала действия соответствующ</w:t>
      </w:r>
      <w:r w:rsidR="007D218C">
        <w:rPr>
          <w:sz w:val="28"/>
          <w:szCs w:val="28"/>
        </w:rPr>
        <w:t>их</w:t>
      </w:r>
      <w:r w:rsidR="007D218C" w:rsidRPr="00835142">
        <w:rPr>
          <w:sz w:val="28"/>
          <w:szCs w:val="28"/>
        </w:rPr>
        <w:t xml:space="preserve"> льгот</w:t>
      </w:r>
      <w:r w:rsidR="007D218C">
        <w:rPr>
          <w:sz w:val="28"/>
          <w:szCs w:val="28"/>
        </w:rPr>
        <w:t xml:space="preserve">, что связано с </w:t>
      </w:r>
      <w:r w:rsidR="007D218C" w:rsidRPr="00835142">
        <w:rPr>
          <w:sz w:val="28"/>
          <w:szCs w:val="28"/>
        </w:rPr>
        <w:t xml:space="preserve">более благоприятной </w:t>
      </w:r>
      <w:r w:rsidR="007D218C">
        <w:rPr>
          <w:sz w:val="28"/>
          <w:szCs w:val="28"/>
        </w:rPr>
        <w:t xml:space="preserve">ценовой </w:t>
      </w:r>
      <w:r w:rsidR="007D218C" w:rsidRPr="00835142">
        <w:rPr>
          <w:sz w:val="28"/>
          <w:szCs w:val="28"/>
        </w:rPr>
        <w:t>конъюнктурой</w:t>
      </w:r>
      <w:r w:rsidR="007D218C">
        <w:rPr>
          <w:sz w:val="28"/>
          <w:szCs w:val="28"/>
        </w:rPr>
        <w:t xml:space="preserve"> рынка</w:t>
      </w:r>
      <w:r w:rsidR="007D218C" w:rsidRPr="00835142">
        <w:rPr>
          <w:sz w:val="28"/>
          <w:szCs w:val="28"/>
        </w:rPr>
        <w:t xml:space="preserve">, а также увеличением капитальных вложений </w:t>
      </w:r>
      <w:r w:rsidR="007D218C">
        <w:rPr>
          <w:sz w:val="28"/>
          <w:szCs w:val="28"/>
        </w:rPr>
        <w:t xml:space="preserve">организаций </w:t>
      </w:r>
      <w:r w:rsidR="007D218C" w:rsidRPr="00835142">
        <w:rPr>
          <w:sz w:val="28"/>
          <w:szCs w:val="28"/>
        </w:rPr>
        <w:t>в развит</w:t>
      </w:r>
      <w:r w:rsidR="007D218C">
        <w:rPr>
          <w:sz w:val="28"/>
          <w:szCs w:val="28"/>
        </w:rPr>
        <w:t>и</w:t>
      </w:r>
      <w:r w:rsidR="007D218C" w:rsidRPr="00835142">
        <w:rPr>
          <w:sz w:val="28"/>
          <w:szCs w:val="28"/>
        </w:rPr>
        <w:t xml:space="preserve">е рудно-сырьевой базы (снижение налоговых поступлений в отчетном периоде по отношению к базовому году). </w:t>
      </w:r>
    </w:p>
    <w:p w:rsidR="007D218C" w:rsidRDefault="007D218C" w:rsidP="007D218C">
      <w:pPr>
        <w:pStyle w:val="ae"/>
        <w:spacing w:after="0" w:line="276" w:lineRule="auto"/>
        <w:ind w:right="-28" w:firstLine="709"/>
        <w:jc w:val="both"/>
        <w:rPr>
          <w:sz w:val="28"/>
          <w:szCs w:val="28"/>
        </w:rPr>
      </w:pPr>
      <w:r w:rsidRPr="00835142">
        <w:rPr>
          <w:sz w:val="28"/>
          <w:szCs w:val="28"/>
        </w:rPr>
        <w:t>Вместе с тем сохраняется бюджетная эффективность инвестиционн</w:t>
      </w:r>
      <w:r>
        <w:rPr>
          <w:sz w:val="28"/>
          <w:szCs w:val="28"/>
        </w:rPr>
        <w:t>ых</w:t>
      </w:r>
      <w:r w:rsidRPr="0083514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835142">
        <w:rPr>
          <w:sz w:val="28"/>
          <w:szCs w:val="28"/>
        </w:rPr>
        <w:t>, рассчитанная путем сопоставления доходов и расходов областного бюджета, связанных с реализацией инвестиционного проекта, в соответствии с Методикой оценки эффективности инвестиционных проектов, претендующих на меры государственной поддержки, к Порядку рассмотрения инвестиционных проектов Мурманской области, претендующих на меры государственной поддержки, утвержденному постановлением Правительства Мурманской области от 23.07.2014 № 386-ПП (с изменениями). С учетом этого отмена данных налоговых льгот нецелесообразна.</w:t>
      </w:r>
    </w:p>
    <w:p w:rsidR="007D218C" w:rsidRPr="007D218C" w:rsidRDefault="007D218C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итогам оценки налоговых расходов как и годом ранее отм</w:t>
      </w:r>
      <w:r w:rsidR="0046635F" w:rsidRPr="0007253B">
        <w:rPr>
          <w:rFonts w:ascii="Times New Roman" w:hAnsi="Times New Roman" w:cs="Times New Roman"/>
          <w:sz w:val="27"/>
          <w:szCs w:val="27"/>
        </w:rPr>
        <w:t xml:space="preserve">ечается отсутствие влияния на реализацию государственных программ Мурманской области, а также отсутствие возможности определить соответствие целям социально-экономической политики Мурманской области </w:t>
      </w:r>
      <w:r w:rsidRPr="007D218C">
        <w:rPr>
          <w:rFonts w:ascii="Times New Roman" w:hAnsi="Times New Roman" w:cs="Times New Roman"/>
          <w:sz w:val="27"/>
          <w:szCs w:val="27"/>
        </w:rPr>
        <w:t>льготы по налогу на имущество организаций в части имущества, полученного (созданного) за счет технической помощи (содействия), предоставляемой Российской Федерации на безвозмездной основе иностранными государствами в целях проведения утилизации вооружения и военной техники, радиационно-экологических мероприятий по обращению с радиоактивными отходами, отработанным ядерным топливом и другими ядерными материалами, ранее накопленными и (или) образующимися при эксплуатации и выводе из нее объектов мирного и военного использования атомной энергии, по проектам и программам, которые зарегистрированы в установленном порядке (статья 4-1 Закона Мурманской области от 26.11.2003 № 446-01-ЗМО «О налоге на имущество организаций»).</w:t>
      </w:r>
    </w:p>
    <w:p w:rsidR="007D218C" w:rsidRDefault="007D218C" w:rsidP="007D218C">
      <w:pPr>
        <w:pStyle w:val="ae"/>
        <w:spacing w:after="0" w:line="276" w:lineRule="auto"/>
        <w:ind w:right="-28" w:firstLine="709"/>
        <w:jc w:val="both"/>
        <w:rPr>
          <w:sz w:val="27"/>
          <w:szCs w:val="27"/>
        </w:rPr>
      </w:pPr>
      <w:r w:rsidRPr="007D218C">
        <w:rPr>
          <w:sz w:val="27"/>
          <w:szCs w:val="27"/>
        </w:rPr>
        <w:t>Данная преференция действует в регионе с 01.01.2006 и введена в целях выполнения условий рамочного соглашения о многосторонней ядерно-экологической программе в Российской Федерации (соглашение МНЭПР). Учитывая, что Правительство Мурманской области, исполнительные органы Мурманской области не имеют полномочий на осуществление вышеуказанных направлений международного сотрудничества, а также тот факт, что средства безвозмездной помощи (содействия) не связаны с бюджетом региона, а напрямую следуют получателям, реализующим вышеуказанные мероприятия, данная льгота не может отождествляться с налоговыми расходами Мурманской области, а, значит, не представляется возможным определить ее целесообразность и результативность.</w:t>
      </w:r>
    </w:p>
    <w:p w:rsidR="009313D4" w:rsidRPr="0007253B" w:rsidRDefault="009313D4" w:rsidP="007D218C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253B">
        <w:rPr>
          <w:rFonts w:ascii="Times New Roman" w:hAnsi="Times New Roman" w:cs="Times New Roman"/>
          <w:sz w:val="27"/>
          <w:szCs w:val="27"/>
        </w:rPr>
        <w:t>Результаты оценки налоговых расходов</w:t>
      </w:r>
      <w:r w:rsidR="007D218C">
        <w:rPr>
          <w:rFonts w:ascii="Times New Roman" w:hAnsi="Times New Roman" w:cs="Times New Roman"/>
          <w:sz w:val="27"/>
          <w:szCs w:val="27"/>
        </w:rPr>
        <w:t xml:space="preserve"> Мурманской области </w:t>
      </w:r>
      <w:r w:rsidRPr="0007253B">
        <w:rPr>
          <w:rFonts w:ascii="Times New Roman" w:hAnsi="Times New Roman" w:cs="Times New Roman"/>
          <w:sz w:val="27"/>
          <w:szCs w:val="27"/>
        </w:rPr>
        <w:t>за 20</w:t>
      </w:r>
      <w:r w:rsidR="0039069C" w:rsidRPr="0007253B">
        <w:rPr>
          <w:rFonts w:ascii="Times New Roman" w:hAnsi="Times New Roman" w:cs="Times New Roman"/>
          <w:sz w:val="27"/>
          <w:szCs w:val="27"/>
        </w:rPr>
        <w:t>2</w:t>
      </w:r>
      <w:r w:rsidR="000E3CF8">
        <w:rPr>
          <w:rFonts w:ascii="Times New Roman" w:hAnsi="Times New Roman" w:cs="Times New Roman"/>
          <w:sz w:val="27"/>
          <w:szCs w:val="27"/>
        </w:rPr>
        <w:t>2</w:t>
      </w:r>
      <w:r w:rsidRPr="0007253B">
        <w:rPr>
          <w:rFonts w:ascii="Times New Roman" w:hAnsi="Times New Roman" w:cs="Times New Roman"/>
          <w:sz w:val="27"/>
          <w:szCs w:val="27"/>
        </w:rPr>
        <w:t xml:space="preserve"> год (с</w:t>
      </w:r>
      <w:r w:rsidR="007D218C">
        <w:rPr>
          <w:rFonts w:ascii="Times New Roman" w:hAnsi="Times New Roman" w:cs="Times New Roman"/>
          <w:sz w:val="27"/>
          <w:szCs w:val="27"/>
        </w:rPr>
        <w:t xml:space="preserve">  </w:t>
      </w:r>
      <w:r w:rsidRPr="0007253B">
        <w:rPr>
          <w:rFonts w:ascii="Times New Roman" w:hAnsi="Times New Roman" w:cs="Times New Roman"/>
          <w:sz w:val="27"/>
          <w:szCs w:val="27"/>
        </w:rPr>
        <w:t xml:space="preserve">учетом результатов оценки </w:t>
      </w:r>
      <w:r w:rsidR="007D218C">
        <w:rPr>
          <w:rFonts w:ascii="Times New Roman" w:hAnsi="Times New Roman" w:cs="Times New Roman"/>
          <w:sz w:val="27"/>
          <w:szCs w:val="27"/>
        </w:rPr>
        <w:t xml:space="preserve">совокупного бюджетного эффекта </w:t>
      </w:r>
      <w:bookmarkStart w:id="0" w:name="_GoBack"/>
      <w:bookmarkEnd w:id="0"/>
      <w:r w:rsidR="007D218C">
        <w:rPr>
          <w:rFonts w:ascii="Times New Roman" w:hAnsi="Times New Roman" w:cs="Times New Roman"/>
          <w:sz w:val="27"/>
          <w:szCs w:val="27"/>
        </w:rPr>
        <w:t>стимулирующих налоговых расходов Мурманской области по налогу на прибыль организаций и налогу на имущество организаций</w:t>
      </w:r>
      <w:r w:rsidRPr="0007253B">
        <w:rPr>
          <w:rFonts w:ascii="Times New Roman" w:hAnsi="Times New Roman" w:cs="Times New Roman"/>
          <w:sz w:val="27"/>
          <w:szCs w:val="27"/>
        </w:rPr>
        <w:t xml:space="preserve"> за 20</w:t>
      </w:r>
      <w:r w:rsidR="007D218C">
        <w:rPr>
          <w:rFonts w:ascii="Times New Roman" w:hAnsi="Times New Roman" w:cs="Times New Roman"/>
          <w:sz w:val="27"/>
          <w:szCs w:val="27"/>
        </w:rPr>
        <w:t>2</w:t>
      </w:r>
      <w:r w:rsidR="000E3CF8">
        <w:rPr>
          <w:rFonts w:ascii="Times New Roman" w:hAnsi="Times New Roman" w:cs="Times New Roman"/>
          <w:sz w:val="27"/>
          <w:szCs w:val="27"/>
        </w:rPr>
        <w:t>1</w:t>
      </w:r>
      <w:r w:rsidRPr="0007253B">
        <w:rPr>
          <w:rFonts w:ascii="Times New Roman" w:hAnsi="Times New Roman" w:cs="Times New Roman"/>
          <w:sz w:val="27"/>
          <w:szCs w:val="27"/>
        </w:rPr>
        <w:t xml:space="preserve"> год) обобщены в приложении и будут учтены</w:t>
      </w:r>
      <w:r w:rsidR="0039069C" w:rsidRPr="0007253B">
        <w:rPr>
          <w:rFonts w:ascii="Times New Roman" w:hAnsi="Times New Roman" w:cs="Times New Roman"/>
          <w:sz w:val="27"/>
          <w:szCs w:val="27"/>
        </w:rPr>
        <w:t xml:space="preserve"> при </w:t>
      </w:r>
      <w:r w:rsidRPr="0007253B">
        <w:rPr>
          <w:rFonts w:ascii="Times New Roman" w:hAnsi="Times New Roman" w:cs="Times New Roman"/>
          <w:sz w:val="27"/>
          <w:szCs w:val="27"/>
        </w:rPr>
        <w:t>формировании основных направлений бюджетной и налоговой политики Мурманской области, а также при проведении оценки эффективности реализации государственных программ Мурманской области.</w:t>
      </w:r>
    </w:p>
    <w:p w:rsidR="004A4FC0" w:rsidRPr="00791EDE" w:rsidRDefault="00791EDE" w:rsidP="000C461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1EDE">
        <w:rPr>
          <w:rFonts w:ascii="Times New Roman" w:hAnsi="Times New Roman" w:cs="Times New Roman"/>
          <w:sz w:val="27"/>
          <w:szCs w:val="27"/>
          <w:shd w:val="clear" w:color="auto" w:fill="FFFFFF"/>
        </w:rPr>
        <w:t>Приложение к отчету содержит информацию об оценке налоговых расходов Мурманской области на очередной финансовый год и плановый период.</w:t>
      </w:r>
    </w:p>
    <w:sectPr w:rsidR="004A4FC0" w:rsidRPr="00791EDE" w:rsidSect="007D218C">
      <w:headerReference w:type="default" r:id="rId8"/>
      <w:pgSz w:w="11906" w:h="16838" w:code="9"/>
      <w:pgMar w:top="794" w:right="851" w:bottom="1134" w:left="153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9C9" w:rsidRDefault="004559C9" w:rsidP="008632DC">
      <w:pPr>
        <w:spacing w:after="0" w:line="240" w:lineRule="auto"/>
      </w:pPr>
      <w:r>
        <w:separator/>
      </w:r>
    </w:p>
  </w:endnote>
  <w:endnote w:type="continuationSeparator" w:id="1">
    <w:p w:rsidR="004559C9" w:rsidRDefault="004559C9" w:rsidP="0086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9C9" w:rsidRDefault="004559C9" w:rsidP="008632DC">
      <w:pPr>
        <w:spacing w:after="0" w:line="240" w:lineRule="auto"/>
      </w:pPr>
      <w:r>
        <w:separator/>
      </w:r>
    </w:p>
  </w:footnote>
  <w:footnote w:type="continuationSeparator" w:id="1">
    <w:p w:rsidR="004559C9" w:rsidRDefault="004559C9" w:rsidP="0086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92190"/>
      <w:docPartObj>
        <w:docPartGallery w:val="Page Numbers (Top of Page)"/>
        <w:docPartUnique/>
      </w:docPartObj>
    </w:sdtPr>
    <w:sdtContent>
      <w:p w:rsidR="00FA5C62" w:rsidRDefault="00B462C3" w:rsidP="002E1491">
        <w:pPr>
          <w:pStyle w:val="a6"/>
          <w:jc w:val="center"/>
        </w:pPr>
        <w:fldSimple w:instr=" PAGE   \* MERGEFORMAT ">
          <w:r w:rsidR="00737438">
            <w:rPr>
              <w:noProof/>
            </w:rPr>
            <w:t>6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3818"/>
    <w:rsid w:val="00000105"/>
    <w:rsid w:val="00001009"/>
    <w:rsid w:val="00001B52"/>
    <w:rsid w:val="00002F6A"/>
    <w:rsid w:val="0000324D"/>
    <w:rsid w:val="0000567E"/>
    <w:rsid w:val="0000770A"/>
    <w:rsid w:val="000077AC"/>
    <w:rsid w:val="000078E3"/>
    <w:rsid w:val="0001158B"/>
    <w:rsid w:val="000131F1"/>
    <w:rsid w:val="00013BB5"/>
    <w:rsid w:val="00015124"/>
    <w:rsid w:val="00015292"/>
    <w:rsid w:val="00016494"/>
    <w:rsid w:val="0001686D"/>
    <w:rsid w:val="00017D23"/>
    <w:rsid w:val="00020889"/>
    <w:rsid w:val="00021E98"/>
    <w:rsid w:val="000231C5"/>
    <w:rsid w:val="00023AA3"/>
    <w:rsid w:val="00025D40"/>
    <w:rsid w:val="00027097"/>
    <w:rsid w:val="000271B1"/>
    <w:rsid w:val="000278E8"/>
    <w:rsid w:val="00030FB1"/>
    <w:rsid w:val="000326FF"/>
    <w:rsid w:val="00032B53"/>
    <w:rsid w:val="00034DAF"/>
    <w:rsid w:val="00037220"/>
    <w:rsid w:val="00037836"/>
    <w:rsid w:val="000405AB"/>
    <w:rsid w:val="000405C9"/>
    <w:rsid w:val="00040657"/>
    <w:rsid w:val="00043054"/>
    <w:rsid w:val="000430A5"/>
    <w:rsid w:val="000437FF"/>
    <w:rsid w:val="00043F6B"/>
    <w:rsid w:val="00044FD0"/>
    <w:rsid w:val="00045984"/>
    <w:rsid w:val="0004621E"/>
    <w:rsid w:val="00047037"/>
    <w:rsid w:val="00047E65"/>
    <w:rsid w:val="0005033D"/>
    <w:rsid w:val="0005131B"/>
    <w:rsid w:val="00052302"/>
    <w:rsid w:val="00053DBF"/>
    <w:rsid w:val="00054132"/>
    <w:rsid w:val="00054D00"/>
    <w:rsid w:val="000565C1"/>
    <w:rsid w:val="00057F53"/>
    <w:rsid w:val="0006014F"/>
    <w:rsid w:val="00060F80"/>
    <w:rsid w:val="00061080"/>
    <w:rsid w:val="0006217F"/>
    <w:rsid w:val="000633F6"/>
    <w:rsid w:val="000638BF"/>
    <w:rsid w:val="00063BCE"/>
    <w:rsid w:val="00064186"/>
    <w:rsid w:val="00064520"/>
    <w:rsid w:val="00064A1F"/>
    <w:rsid w:val="00066CAD"/>
    <w:rsid w:val="00067B23"/>
    <w:rsid w:val="00067D26"/>
    <w:rsid w:val="000708B6"/>
    <w:rsid w:val="00071151"/>
    <w:rsid w:val="0007253B"/>
    <w:rsid w:val="00073C11"/>
    <w:rsid w:val="00073C25"/>
    <w:rsid w:val="0007440C"/>
    <w:rsid w:val="00075B20"/>
    <w:rsid w:val="00075F94"/>
    <w:rsid w:val="000766F9"/>
    <w:rsid w:val="000767F2"/>
    <w:rsid w:val="00077E7F"/>
    <w:rsid w:val="000800E5"/>
    <w:rsid w:val="00080BD1"/>
    <w:rsid w:val="000810A4"/>
    <w:rsid w:val="00081F64"/>
    <w:rsid w:val="0008564A"/>
    <w:rsid w:val="000858DF"/>
    <w:rsid w:val="00085EA0"/>
    <w:rsid w:val="00086302"/>
    <w:rsid w:val="000878EA"/>
    <w:rsid w:val="00087B94"/>
    <w:rsid w:val="00087F24"/>
    <w:rsid w:val="000901A5"/>
    <w:rsid w:val="000908D5"/>
    <w:rsid w:val="00090A3F"/>
    <w:rsid w:val="0009137E"/>
    <w:rsid w:val="00091E7F"/>
    <w:rsid w:val="0009353A"/>
    <w:rsid w:val="000942B5"/>
    <w:rsid w:val="000945BF"/>
    <w:rsid w:val="00095A5F"/>
    <w:rsid w:val="00095D65"/>
    <w:rsid w:val="00097249"/>
    <w:rsid w:val="000A0E25"/>
    <w:rsid w:val="000A157F"/>
    <w:rsid w:val="000A263B"/>
    <w:rsid w:val="000A448D"/>
    <w:rsid w:val="000A5C9C"/>
    <w:rsid w:val="000A7F18"/>
    <w:rsid w:val="000B1942"/>
    <w:rsid w:val="000B1A8B"/>
    <w:rsid w:val="000B2461"/>
    <w:rsid w:val="000B3F5A"/>
    <w:rsid w:val="000B3FDF"/>
    <w:rsid w:val="000B5631"/>
    <w:rsid w:val="000B5C15"/>
    <w:rsid w:val="000B78C7"/>
    <w:rsid w:val="000B7AD7"/>
    <w:rsid w:val="000C1A12"/>
    <w:rsid w:val="000C1DF9"/>
    <w:rsid w:val="000C2A59"/>
    <w:rsid w:val="000C2CC1"/>
    <w:rsid w:val="000C2F81"/>
    <w:rsid w:val="000C4611"/>
    <w:rsid w:val="000C466F"/>
    <w:rsid w:val="000C4D48"/>
    <w:rsid w:val="000C545B"/>
    <w:rsid w:val="000C6A48"/>
    <w:rsid w:val="000D0267"/>
    <w:rsid w:val="000D5303"/>
    <w:rsid w:val="000D5627"/>
    <w:rsid w:val="000D6658"/>
    <w:rsid w:val="000D6A99"/>
    <w:rsid w:val="000E0C77"/>
    <w:rsid w:val="000E114F"/>
    <w:rsid w:val="000E13E0"/>
    <w:rsid w:val="000E2624"/>
    <w:rsid w:val="000E269D"/>
    <w:rsid w:val="000E2BF9"/>
    <w:rsid w:val="000E3CF8"/>
    <w:rsid w:val="000E7422"/>
    <w:rsid w:val="000E7A10"/>
    <w:rsid w:val="000F10AA"/>
    <w:rsid w:val="000F1696"/>
    <w:rsid w:val="000F1D11"/>
    <w:rsid w:val="000F21C8"/>
    <w:rsid w:val="000F225A"/>
    <w:rsid w:val="000F4B4E"/>
    <w:rsid w:val="000F4CD9"/>
    <w:rsid w:val="000F5C1B"/>
    <w:rsid w:val="000F5DD3"/>
    <w:rsid w:val="000F676C"/>
    <w:rsid w:val="000F7EB2"/>
    <w:rsid w:val="00100D6D"/>
    <w:rsid w:val="00101FE4"/>
    <w:rsid w:val="00104F00"/>
    <w:rsid w:val="00104F87"/>
    <w:rsid w:val="00106B10"/>
    <w:rsid w:val="001070EF"/>
    <w:rsid w:val="0010774B"/>
    <w:rsid w:val="0010794E"/>
    <w:rsid w:val="00107CB7"/>
    <w:rsid w:val="00107CEB"/>
    <w:rsid w:val="00111395"/>
    <w:rsid w:val="00113CF2"/>
    <w:rsid w:val="00114789"/>
    <w:rsid w:val="00114966"/>
    <w:rsid w:val="00114C6C"/>
    <w:rsid w:val="00114F3A"/>
    <w:rsid w:val="00115259"/>
    <w:rsid w:val="00117DF1"/>
    <w:rsid w:val="00122450"/>
    <w:rsid w:val="001233F4"/>
    <w:rsid w:val="00123A4B"/>
    <w:rsid w:val="001243A6"/>
    <w:rsid w:val="001254B7"/>
    <w:rsid w:val="00126FEA"/>
    <w:rsid w:val="00130BEE"/>
    <w:rsid w:val="00130DCE"/>
    <w:rsid w:val="001319E0"/>
    <w:rsid w:val="00131E50"/>
    <w:rsid w:val="001328AE"/>
    <w:rsid w:val="00133AFC"/>
    <w:rsid w:val="00134AC3"/>
    <w:rsid w:val="00135219"/>
    <w:rsid w:val="0013530B"/>
    <w:rsid w:val="00136143"/>
    <w:rsid w:val="00136658"/>
    <w:rsid w:val="00136A84"/>
    <w:rsid w:val="001378C6"/>
    <w:rsid w:val="00141F39"/>
    <w:rsid w:val="001447DC"/>
    <w:rsid w:val="00144C9C"/>
    <w:rsid w:val="00145DE9"/>
    <w:rsid w:val="0014718C"/>
    <w:rsid w:val="001479F0"/>
    <w:rsid w:val="00150F64"/>
    <w:rsid w:val="00151898"/>
    <w:rsid w:val="001520D1"/>
    <w:rsid w:val="00152731"/>
    <w:rsid w:val="00152F60"/>
    <w:rsid w:val="00154283"/>
    <w:rsid w:val="0015437B"/>
    <w:rsid w:val="00154CC8"/>
    <w:rsid w:val="0015521A"/>
    <w:rsid w:val="0015598F"/>
    <w:rsid w:val="00156032"/>
    <w:rsid w:val="00156DB5"/>
    <w:rsid w:val="001575B9"/>
    <w:rsid w:val="0015787C"/>
    <w:rsid w:val="00157DE2"/>
    <w:rsid w:val="001603CE"/>
    <w:rsid w:val="001619DF"/>
    <w:rsid w:val="001644CC"/>
    <w:rsid w:val="0016606D"/>
    <w:rsid w:val="00166D1B"/>
    <w:rsid w:val="00166D94"/>
    <w:rsid w:val="00166E3C"/>
    <w:rsid w:val="00171779"/>
    <w:rsid w:val="00172133"/>
    <w:rsid w:val="001754F7"/>
    <w:rsid w:val="00175FDF"/>
    <w:rsid w:val="00176E12"/>
    <w:rsid w:val="00177470"/>
    <w:rsid w:val="00177B78"/>
    <w:rsid w:val="00180C14"/>
    <w:rsid w:val="00180D26"/>
    <w:rsid w:val="00182834"/>
    <w:rsid w:val="001832F5"/>
    <w:rsid w:val="00183DC0"/>
    <w:rsid w:val="0018659D"/>
    <w:rsid w:val="001901B0"/>
    <w:rsid w:val="00190BCD"/>
    <w:rsid w:val="00192EB3"/>
    <w:rsid w:val="001936D5"/>
    <w:rsid w:val="001947F2"/>
    <w:rsid w:val="00195243"/>
    <w:rsid w:val="00195323"/>
    <w:rsid w:val="001954CD"/>
    <w:rsid w:val="00195E3D"/>
    <w:rsid w:val="00197134"/>
    <w:rsid w:val="00197408"/>
    <w:rsid w:val="00197515"/>
    <w:rsid w:val="001A2A84"/>
    <w:rsid w:val="001A2B39"/>
    <w:rsid w:val="001A32CD"/>
    <w:rsid w:val="001A533F"/>
    <w:rsid w:val="001A594A"/>
    <w:rsid w:val="001A603C"/>
    <w:rsid w:val="001A7C5C"/>
    <w:rsid w:val="001A7CA4"/>
    <w:rsid w:val="001B0C74"/>
    <w:rsid w:val="001B0CC1"/>
    <w:rsid w:val="001B1D35"/>
    <w:rsid w:val="001B1E02"/>
    <w:rsid w:val="001B53DE"/>
    <w:rsid w:val="001B6CF8"/>
    <w:rsid w:val="001B71B2"/>
    <w:rsid w:val="001B7C61"/>
    <w:rsid w:val="001B7EF0"/>
    <w:rsid w:val="001C000A"/>
    <w:rsid w:val="001C1484"/>
    <w:rsid w:val="001C21E8"/>
    <w:rsid w:val="001C2AE7"/>
    <w:rsid w:val="001C4362"/>
    <w:rsid w:val="001C6278"/>
    <w:rsid w:val="001C6AEE"/>
    <w:rsid w:val="001C6F2E"/>
    <w:rsid w:val="001D0300"/>
    <w:rsid w:val="001D0DDA"/>
    <w:rsid w:val="001D1368"/>
    <w:rsid w:val="001D2427"/>
    <w:rsid w:val="001D3062"/>
    <w:rsid w:val="001D3120"/>
    <w:rsid w:val="001D381C"/>
    <w:rsid w:val="001D3D27"/>
    <w:rsid w:val="001D449D"/>
    <w:rsid w:val="001D67DA"/>
    <w:rsid w:val="001D6976"/>
    <w:rsid w:val="001D6B3A"/>
    <w:rsid w:val="001D70E3"/>
    <w:rsid w:val="001E017A"/>
    <w:rsid w:val="001E177C"/>
    <w:rsid w:val="001E2AE8"/>
    <w:rsid w:val="001E3C58"/>
    <w:rsid w:val="001E4A8C"/>
    <w:rsid w:val="001E7950"/>
    <w:rsid w:val="001F135C"/>
    <w:rsid w:val="001F1B23"/>
    <w:rsid w:val="001F1CA8"/>
    <w:rsid w:val="001F27FE"/>
    <w:rsid w:val="001F2F11"/>
    <w:rsid w:val="001F3D33"/>
    <w:rsid w:val="001F3EE5"/>
    <w:rsid w:val="001F41EF"/>
    <w:rsid w:val="001F5DA5"/>
    <w:rsid w:val="001F6342"/>
    <w:rsid w:val="001F7FAA"/>
    <w:rsid w:val="0020115F"/>
    <w:rsid w:val="00204EC9"/>
    <w:rsid w:val="002130D3"/>
    <w:rsid w:val="002140BD"/>
    <w:rsid w:val="002147BB"/>
    <w:rsid w:val="00215124"/>
    <w:rsid w:val="00215839"/>
    <w:rsid w:val="00216A6D"/>
    <w:rsid w:val="00217760"/>
    <w:rsid w:val="00217865"/>
    <w:rsid w:val="002202C1"/>
    <w:rsid w:val="002202EF"/>
    <w:rsid w:val="00220427"/>
    <w:rsid w:val="002209A4"/>
    <w:rsid w:val="0022162A"/>
    <w:rsid w:val="002223E6"/>
    <w:rsid w:val="00222C2F"/>
    <w:rsid w:val="00223CD9"/>
    <w:rsid w:val="00223FFA"/>
    <w:rsid w:val="00224D3A"/>
    <w:rsid w:val="00226496"/>
    <w:rsid w:val="00226A7D"/>
    <w:rsid w:val="00230868"/>
    <w:rsid w:val="0023156A"/>
    <w:rsid w:val="00231834"/>
    <w:rsid w:val="00231B4F"/>
    <w:rsid w:val="00232AC5"/>
    <w:rsid w:val="0023442B"/>
    <w:rsid w:val="00235385"/>
    <w:rsid w:val="0023602B"/>
    <w:rsid w:val="002373E1"/>
    <w:rsid w:val="002375D1"/>
    <w:rsid w:val="0024023C"/>
    <w:rsid w:val="00240BE8"/>
    <w:rsid w:val="0024142C"/>
    <w:rsid w:val="0024226D"/>
    <w:rsid w:val="00242537"/>
    <w:rsid w:val="00243287"/>
    <w:rsid w:val="0024361C"/>
    <w:rsid w:val="00246415"/>
    <w:rsid w:val="00246A32"/>
    <w:rsid w:val="002504F1"/>
    <w:rsid w:val="00250AA0"/>
    <w:rsid w:val="00250F05"/>
    <w:rsid w:val="00251CC8"/>
    <w:rsid w:val="00252B0C"/>
    <w:rsid w:val="00252D0C"/>
    <w:rsid w:val="0025476A"/>
    <w:rsid w:val="002558F1"/>
    <w:rsid w:val="00255B95"/>
    <w:rsid w:val="002566CB"/>
    <w:rsid w:val="00261B3F"/>
    <w:rsid w:val="00263B80"/>
    <w:rsid w:val="00263F3F"/>
    <w:rsid w:val="0026491A"/>
    <w:rsid w:val="0026505F"/>
    <w:rsid w:val="00265835"/>
    <w:rsid w:val="002661EE"/>
    <w:rsid w:val="002667D5"/>
    <w:rsid w:val="002679C7"/>
    <w:rsid w:val="00267CEB"/>
    <w:rsid w:val="002704DB"/>
    <w:rsid w:val="0027090A"/>
    <w:rsid w:val="00270E13"/>
    <w:rsid w:val="0027259A"/>
    <w:rsid w:val="00272849"/>
    <w:rsid w:val="00272D20"/>
    <w:rsid w:val="002736DB"/>
    <w:rsid w:val="00275AAB"/>
    <w:rsid w:val="0027615C"/>
    <w:rsid w:val="002769AE"/>
    <w:rsid w:val="00277D21"/>
    <w:rsid w:val="00280901"/>
    <w:rsid w:val="0028156E"/>
    <w:rsid w:val="00281F82"/>
    <w:rsid w:val="002820B9"/>
    <w:rsid w:val="00284093"/>
    <w:rsid w:val="00284229"/>
    <w:rsid w:val="002842A4"/>
    <w:rsid w:val="00284542"/>
    <w:rsid w:val="002847A6"/>
    <w:rsid w:val="002850C5"/>
    <w:rsid w:val="00285793"/>
    <w:rsid w:val="0028668D"/>
    <w:rsid w:val="00286B69"/>
    <w:rsid w:val="00286F64"/>
    <w:rsid w:val="00286F97"/>
    <w:rsid w:val="0028700E"/>
    <w:rsid w:val="00290D43"/>
    <w:rsid w:val="00291A06"/>
    <w:rsid w:val="00292879"/>
    <w:rsid w:val="00294647"/>
    <w:rsid w:val="00294B34"/>
    <w:rsid w:val="002950FE"/>
    <w:rsid w:val="002960D9"/>
    <w:rsid w:val="002973F2"/>
    <w:rsid w:val="00297615"/>
    <w:rsid w:val="002A1ECB"/>
    <w:rsid w:val="002A286D"/>
    <w:rsid w:val="002A2BCD"/>
    <w:rsid w:val="002A3B16"/>
    <w:rsid w:val="002A432D"/>
    <w:rsid w:val="002A4F38"/>
    <w:rsid w:val="002A5281"/>
    <w:rsid w:val="002A699E"/>
    <w:rsid w:val="002A6DCC"/>
    <w:rsid w:val="002A6F79"/>
    <w:rsid w:val="002B0DA4"/>
    <w:rsid w:val="002B1006"/>
    <w:rsid w:val="002B474A"/>
    <w:rsid w:val="002B4C0C"/>
    <w:rsid w:val="002B4DF5"/>
    <w:rsid w:val="002B4F1D"/>
    <w:rsid w:val="002B59F2"/>
    <w:rsid w:val="002B5A4D"/>
    <w:rsid w:val="002B5E98"/>
    <w:rsid w:val="002B698E"/>
    <w:rsid w:val="002B7EC9"/>
    <w:rsid w:val="002C08DB"/>
    <w:rsid w:val="002C0E71"/>
    <w:rsid w:val="002C1791"/>
    <w:rsid w:val="002C22AE"/>
    <w:rsid w:val="002C23CB"/>
    <w:rsid w:val="002C2FE9"/>
    <w:rsid w:val="002C3D7C"/>
    <w:rsid w:val="002C572D"/>
    <w:rsid w:val="002C644D"/>
    <w:rsid w:val="002C7043"/>
    <w:rsid w:val="002C75D0"/>
    <w:rsid w:val="002D01D1"/>
    <w:rsid w:val="002D02FB"/>
    <w:rsid w:val="002D0B28"/>
    <w:rsid w:val="002D0E3F"/>
    <w:rsid w:val="002D0E88"/>
    <w:rsid w:val="002D141F"/>
    <w:rsid w:val="002D3DE8"/>
    <w:rsid w:val="002D43D5"/>
    <w:rsid w:val="002D5683"/>
    <w:rsid w:val="002D5784"/>
    <w:rsid w:val="002D5852"/>
    <w:rsid w:val="002D6FD8"/>
    <w:rsid w:val="002D7815"/>
    <w:rsid w:val="002E0CAE"/>
    <w:rsid w:val="002E1491"/>
    <w:rsid w:val="002E3298"/>
    <w:rsid w:val="002E3EBF"/>
    <w:rsid w:val="002E4434"/>
    <w:rsid w:val="002E5A30"/>
    <w:rsid w:val="002F0192"/>
    <w:rsid w:val="002F1059"/>
    <w:rsid w:val="002F2F49"/>
    <w:rsid w:val="002F33D7"/>
    <w:rsid w:val="002F436D"/>
    <w:rsid w:val="002F7640"/>
    <w:rsid w:val="002F7FBB"/>
    <w:rsid w:val="00300BC6"/>
    <w:rsid w:val="00300E4C"/>
    <w:rsid w:val="00301F25"/>
    <w:rsid w:val="003025DC"/>
    <w:rsid w:val="00302887"/>
    <w:rsid w:val="003046F9"/>
    <w:rsid w:val="00305140"/>
    <w:rsid w:val="00305F45"/>
    <w:rsid w:val="0030603E"/>
    <w:rsid w:val="00306E33"/>
    <w:rsid w:val="00307436"/>
    <w:rsid w:val="00311FD6"/>
    <w:rsid w:val="003120F0"/>
    <w:rsid w:val="003122F0"/>
    <w:rsid w:val="003127A4"/>
    <w:rsid w:val="0031477E"/>
    <w:rsid w:val="00314A62"/>
    <w:rsid w:val="003150AC"/>
    <w:rsid w:val="00315379"/>
    <w:rsid w:val="00316A04"/>
    <w:rsid w:val="00316A89"/>
    <w:rsid w:val="00316F43"/>
    <w:rsid w:val="003171A6"/>
    <w:rsid w:val="00317551"/>
    <w:rsid w:val="00317D3C"/>
    <w:rsid w:val="00321598"/>
    <w:rsid w:val="00322329"/>
    <w:rsid w:val="00323525"/>
    <w:rsid w:val="003244F1"/>
    <w:rsid w:val="00325439"/>
    <w:rsid w:val="00325B98"/>
    <w:rsid w:val="00326095"/>
    <w:rsid w:val="0032676A"/>
    <w:rsid w:val="0032759D"/>
    <w:rsid w:val="00327ACB"/>
    <w:rsid w:val="00330BC3"/>
    <w:rsid w:val="00330C41"/>
    <w:rsid w:val="00331883"/>
    <w:rsid w:val="00331F4D"/>
    <w:rsid w:val="0033254B"/>
    <w:rsid w:val="003349ED"/>
    <w:rsid w:val="003363E0"/>
    <w:rsid w:val="0033655E"/>
    <w:rsid w:val="00337062"/>
    <w:rsid w:val="003401A4"/>
    <w:rsid w:val="0034092E"/>
    <w:rsid w:val="00340BE4"/>
    <w:rsid w:val="00340F51"/>
    <w:rsid w:val="00343733"/>
    <w:rsid w:val="00343A40"/>
    <w:rsid w:val="00344159"/>
    <w:rsid w:val="00344275"/>
    <w:rsid w:val="00345829"/>
    <w:rsid w:val="003474DE"/>
    <w:rsid w:val="003479F4"/>
    <w:rsid w:val="00347D8E"/>
    <w:rsid w:val="00347EF7"/>
    <w:rsid w:val="0035127B"/>
    <w:rsid w:val="003513A1"/>
    <w:rsid w:val="00351B31"/>
    <w:rsid w:val="0035292B"/>
    <w:rsid w:val="0035443F"/>
    <w:rsid w:val="00354485"/>
    <w:rsid w:val="003549D4"/>
    <w:rsid w:val="00354D61"/>
    <w:rsid w:val="003554CB"/>
    <w:rsid w:val="00355CA1"/>
    <w:rsid w:val="00356356"/>
    <w:rsid w:val="00357D8E"/>
    <w:rsid w:val="00360E69"/>
    <w:rsid w:val="00360F97"/>
    <w:rsid w:val="00362D0B"/>
    <w:rsid w:val="00363B1A"/>
    <w:rsid w:val="00364588"/>
    <w:rsid w:val="00364E67"/>
    <w:rsid w:val="00365199"/>
    <w:rsid w:val="003654FA"/>
    <w:rsid w:val="0036653C"/>
    <w:rsid w:val="003703EB"/>
    <w:rsid w:val="003714ED"/>
    <w:rsid w:val="00372365"/>
    <w:rsid w:val="00372A83"/>
    <w:rsid w:val="003732CB"/>
    <w:rsid w:val="00373305"/>
    <w:rsid w:val="00374F26"/>
    <w:rsid w:val="003752B0"/>
    <w:rsid w:val="00377049"/>
    <w:rsid w:val="00377E5C"/>
    <w:rsid w:val="0038068D"/>
    <w:rsid w:val="00380955"/>
    <w:rsid w:val="003814C8"/>
    <w:rsid w:val="00381ED2"/>
    <w:rsid w:val="003824A3"/>
    <w:rsid w:val="00382A1B"/>
    <w:rsid w:val="003838F7"/>
    <w:rsid w:val="003862DD"/>
    <w:rsid w:val="003863B8"/>
    <w:rsid w:val="0039003A"/>
    <w:rsid w:val="0039022E"/>
    <w:rsid w:val="0039069C"/>
    <w:rsid w:val="00390E86"/>
    <w:rsid w:val="003919DD"/>
    <w:rsid w:val="00391B3A"/>
    <w:rsid w:val="00391D5B"/>
    <w:rsid w:val="00392579"/>
    <w:rsid w:val="003936CA"/>
    <w:rsid w:val="003959BB"/>
    <w:rsid w:val="00396D1C"/>
    <w:rsid w:val="003A0356"/>
    <w:rsid w:val="003A04D9"/>
    <w:rsid w:val="003A0D99"/>
    <w:rsid w:val="003A27CD"/>
    <w:rsid w:val="003A45E6"/>
    <w:rsid w:val="003A5047"/>
    <w:rsid w:val="003A5DCA"/>
    <w:rsid w:val="003A6077"/>
    <w:rsid w:val="003A7F9B"/>
    <w:rsid w:val="003B0D46"/>
    <w:rsid w:val="003B1B1E"/>
    <w:rsid w:val="003B26EB"/>
    <w:rsid w:val="003B3335"/>
    <w:rsid w:val="003B460B"/>
    <w:rsid w:val="003B4CD7"/>
    <w:rsid w:val="003B5170"/>
    <w:rsid w:val="003B5234"/>
    <w:rsid w:val="003B5D5C"/>
    <w:rsid w:val="003B60FE"/>
    <w:rsid w:val="003B67CA"/>
    <w:rsid w:val="003B697A"/>
    <w:rsid w:val="003B6DB1"/>
    <w:rsid w:val="003C0592"/>
    <w:rsid w:val="003C1B40"/>
    <w:rsid w:val="003C1F08"/>
    <w:rsid w:val="003C243A"/>
    <w:rsid w:val="003C2707"/>
    <w:rsid w:val="003C3C19"/>
    <w:rsid w:val="003C531F"/>
    <w:rsid w:val="003C7DD8"/>
    <w:rsid w:val="003D010C"/>
    <w:rsid w:val="003D015C"/>
    <w:rsid w:val="003D04E0"/>
    <w:rsid w:val="003D0F9E"/>
    <w:rsid w:val="003D16F5"/>
    <w:rsid w:val="003D17CB"/>
    <w:rsid w:val="003D1AC1"/>
    <w:rsid w:val="003D1F38"/>
    <w:rsid w:val="003D29E4"/>
    <w:rsid w:val="003D3140"/>
    <w:rsid w:val="003D338E"/>
    <w:rsid w:val="003D5184"/>
    <w:rsid w:val="003D5677"/>
    <w:rsid w:val="003D7332"/>
    <w:rsid w:val="003D7CDF"/>
    <w:rsid w:val="003E047C"/>
    <w:rsid w:val="003E07B3"/>
    <w:rsid w:val="003E088C"/>
    <w:rsid w:val="003E638F"/>
    <w:rsid w:val="003E6A0D"/>
    <w:rsid w:val="003E7376"/>
    <w:rsid w:val="003F1226"/>
    <w:rsid w:val="003F1D1B"/>
    <w:rsid w:val="003F291F"/>
    <w:rsid w:val="003F371C"/>
    <w:rsid w:val="003F3888"/>
    <w:rsid w:val="003F4840"/>
    <w:rsid w:val="003F499A"/>
    <w:rsid w:val="003F7A3C"/>
    <w:rsid w:val="00400A31"/>
    <w:rsid w:val="00400C94"/>
    <w:rsid w:val="00401A0F"/>
    <w:rsid w:val="00401D17"/>
    <w:rsid w:val="00403C32"/>
    <w:rsid w:val="00406C4C"/>
    <w:rsid w:val="00410187"/>
    <w:rsid w:val="004104C2"/>
    <w:rsid w:val="0041065D"/>
    <w:rsid w:val="00411FBB"/>
    <w:rsid w:val="00412E11"/>
    <w:rsid w:val="004134BB"/>
    <w:rsid w:val="004144C5"/>
    <w:rsid w:val="00420683"/>
    <w:rsid w:val="00421360"/>
    <w:rsid w:val="00421C8E"/>
    <w:rsid w:val="00421E61"/>
    <w:rsid w:val="004228F3"/>
    <w:rsid w:val="00423153"/>
    <w:rsid w:val="0042391D"/>
    <w:rsid w:val="004246F9"/>
    <w:rsid w:val="00425751"/>
    <w:rsid w:val="00426011"/>
    <w:rsid w:val="004279F5"/>
    <w:rsid w:val="00430D94"/>
    <w:rsid w:val="00431F01"/>
    <w:rsid w:val="00431F4E"/>
    <w:rsid w:val="004329E5"/>
    <w:rsid w:val="00432A94"/>
    <w:rsid w:val="00433654"/>
    <w:rsid w:val="00433831"/>
    <w:rsid w:val="00433DB4"/>
    <w:rsid w:val="00433E49"/>
    <w:rsid w:val="00435383"/>
    <w:rsid w:val="00442BBA"/>
    <w:rsid w:val="00442D4A"/>
    <w:rsid w:val="0044385F"/>
    <w:rsid w:val="00443BAE"/>
    <w:rsid w:val="00443CF0"/>
    <w:rsid w:val="00443EAD"/>
    <w:rsid w:val="00446731"/>
    <w:rsid w:val="0045182F"/>
    <w:rsid w:val="0045207B"/>
    <w:rsid w:val="00452A3A"/>
    <w:rsid w:val="00452E03"/>
    <w:rsid w:val="00454BD8"/>
    <w:rsid w:val="00455281"/>
    <w:rsid w:val="004558C6"/>
    <w:rsid w:val="004559C9"/>
    <w:rsid w:val="0046030C"/>
    <w:rsid w:val="0046149F"/>
    <w:rsid w:val="00461823"/>
    <w:rsid w:val="0046263D"/>
    <w:rsid w:val="00462C99"/>
    <w:rsid w:val="004637FE"/>
    <w:rsid w:val="00463F68"/>
    <w:rsid w:val="00463F9B"/>
    <w:rsid w:val="00465E16"/>
    <w:rsid w:val="00465FB5"/>
    <w:rsid w:val="0046635F"/>
    <w:rsid w:val="00470135"/>
    <w:rsid w:val="00470CA6"/>
    <w:rsid w:val="004718D6"/>
    <w:rsid w:val="00471F53"/>
    <w:rsid w:val="004734DC"/>
    <w:rsid w:val="00473DD6"/>
    <w:rsid w:val="0047428C"/>
    <w:rsid w:val="00474C2B"/>
    <w:rsid w:val="00475D05"/>
    <w:rsid w:val="004773F2"/>
    <w:rsid w:val="0048071E"/>
    <w:rsid w:val="00480D74"/>
    <w:rsid w:val="0048166D"/>
    <w:rsid w:val="0048234B"/>
    <w:rsid w:val="00482CF3"/>
    <w:rsid w:val="00483677"/>
    <w:rsid w:val="00483AE5"/>
    <w:rsid w:val="00485FBE"/>
    <w:rsid w:val="00486A3E"/>
    <w:rsid w:val="004872A0"/>
    <w:rsid w:val="00496B3F"/>
    <w:rsid w:val="0049755C"/>
    <w:rsid w:val="004A0D44"/>
    <w:rsid w:val="004A1F2B"/>
    <w:rsid w:val="004A317A"/>
    <w:rsid w:val="004A3C16"/>
    <w:rsid w:val="004A401D"/>
    <w:rsid w:val="004A418A"/>
    <w:rsid w:val="004A4FC0"/>
    <w:rsid w:val="004A6780"/>
    <w:rsid w:val="004A6C71"/>
    <w:rsid w:val="004A70EB"/>
    <w:rsid w:val="004B07CD"/>
    <w:rsid w:val="004B1415"/>
    <w:rsid w:val="004B2117"/>
    <w:rsid w:val="004B2C8E"/>
    <w:rsid w:val="004B35C3"/>
    <w:rsid w:val="004B47E7"/>
    <w:rsid w:val="004B54DC"/>
    <w:rsid w:val="004C2149"/>
    <w:rsid w:val="004C43AF"/>
    <w:rsid w:val="004C48AC"/>
    <w:rsid w:val="004C50CA"/>
    <w:rsid w:val="004C5272"/>
    <w:rsid w:val="004C608E"/>
    <w:rsid w:val="004C6442"/>
    <w:rsid w:val="004C6D8B"/>
    <w:rsid w:val="004C6DE0"/>
    <w:rsid w:val="004C7C2D"/>
    <w:rsid w:val="004D018A"/>
    <w:rsid w:val="004D4DF7"/>
    <w:rsid w:val="004D6AE9"/>
    <w:rsid w:val="004E27A0"/>
    <w:rsid w:val="004E31D1"/>
    <w:rsid w:val="004E330D"/>
    <w:rsid w:val="004E3E9D"/>
    <w:rsid w:val="004E4A05"/>
    <w:rsid w:val="004E4E79"/>
    <w:rsid w:val="004F0B68"/>
    <w:rsid w:val="004F2249"/>
    <w:rsid w:val="004F40D6"/>
    <w:rsid w:val="004F4247"/>
    <w:rsid w:val="004F4D61"/>
    <w:rsid w:val="004F6B85"/>
    <w:rsid w:val="004F6BA4"/>
    <w:rsid w:val="004F7881"/>
    <w:rsid w:val="004F7D54"/>
    <w:rsid w:val="0050003B"/>
    <w:rsid w:val="0050007E"/>
    <w:rsid w:val="0050008A"/>
    <w:rsid w:val="00500EB6"/>
    <w:rsid w:val="0050117F"/>
    <w:rsid w:val="00501CE2"/>
    <w:rsid w:val="005021F0"/>
    <w:rsid w:val="00502B43"/>
    <w:rsid w:val="00502BC9"/>
    <w:rsid w:val="005031C6"/>
    <w:rsid w:val="0051002C"/>
    <w:rsid w:val="0051131B"/>
    <w:rsid w:val="00511940"/>
    <w:rsid w:val="00511A24"/>
    <w:rsid w:val="00512D09"/>
    <w:rsid w:val="00514273"/>
    <w:rsid w:val="0051600B"/>
    <w:rsid w:val="00517E62"/>
    <w:rsid w:val="0052134D"/>
    <w:rsid w:val="00521487"/>
    <w:rsid w:val="005223DD"/>
    <w:rsid w:val="00522557"/>
    <w:rsid w:val="005227AF"/>
    <w:rsid w:val="00523207"/>
    <w:rsid w:val="00523416"/>
    <w:rsid w:val="00524956"/>
    <w:rsid w:val="00525707"/>
    <w:rsid w:val="005267C4"/>
    <w:rsid w:val="00527E6C"/>
    <w:rsid w:val="0053078F"/>
    <w:rsid w:val="00530C7D"/>
    <w:rsid w:val="005330B6"/>
    <w:rsid w:val="00533C59"/>
    <w:rsid w:val="00533CCE"/>
    <w:rsid w:val="00533FC4"/>
    <w:rsid w:val="0053493B"/>
    <w:rsid w:val="005349E0"/>
    <w:rsid w:val="00534DF9"/>
    <w:rsid w:val="00534FEF"/>
    <w:rsid w:val="00535BF5"/>
    <w:rsid w:val="00536EDE"/>
    <w:rsid w:val="00537C9F"/>
    <w:rsid w:val="005405FE"/>
    <w:rsid w:val="005406C5"/>
    <w:rsid w:val="00540A63"/>
    <w:rsid w:val="00540BC4"/>
    <w:rsid w:val="00540C1E"/>
    <w:rsid w:val="00542343"/>
    <w:rsid w:val="00542B8C"/>
    <w:rsid w:val="00543943"/>
    <w:rsid w:val="00544478"/>
    <w:rsid w:val="00544C08"/>
    <w:rsid w:val="005450CD"/>
    <w:rsid w:val="00546474"/>
    <w:rsid w:val="005469B9"/>
    <w:rsid w:val="00547AB0"/>
    <w:rsid w:val="00550339"/>
    <w:rsid w:val="00550C86"/>
    <w:rsid w:val="005513E6"/>
    <w:rsid w:val="0055168C"/>
    <w:rsid w:val="00553089"/>
    <w:rsid w:val="00553190"/>
    <w:rsid w:val="0055376F"/>
    <w:rsid w:val="005538ED"/>
    <w:rsid w:val="00553D2A"/>
    <w:rsid w:val="00554155"/>
    <w:rsid w:val="005541D1"/>
    <w:rsid w:val="00554446"/>
    <w:rsid w:val="0055616F"/>
    <w:rsid w:val="00556796"/>
    <w:rsid w:val="0055732B"/>
    <w:rsid w:val="005577BA"/>
    <w:rsid w:val="00557823"/>
    <w:rsid w:val="00560B73"/>
    <w:rsid w:val="00560C56"/>
    <w:rsid w:val="00561226"/>
    <w:rsid w:val="0056244A"/>
    <w:rsid w:val="00562B02"/>
    <w:rsid w:val="00562F3C"/>
    <w:rsid w:val="005646FE"/>
    <w:rsid w:val="00565BC3"/>
    <w:rsid w:val="005668D0"/>
    <w:rsid w:val="005703FF"/>
    <w:rsid w:val="0057050A"/>
    <w:rsid w:val="005717B8"/>
    <w:rsid w:val="00571D1B"/>
    <w:rsid w:val="00572734"/>
    <w:rsid w:val="005730FF"/>
    <w:rsid w:val="0057311F"/>
    <w:rsid w:val="00574C80"/>
    <w:rsid w:val="00575676"/>
    <w:rsid w:val="00576896"/>
    <w:rsid w:val="00580AD6"/>
    <w:rsid w:val="00581014"/>
    <w:rsid w:val="005815E2"/>
    <w:rsid w:val="00581CD3"/>
    <w:rsid w:val="00582C69"/>
    <w:rsid w:val="00583904"/>
    <w:rsid w:val="00584200"/>
    <w:rsid w:val="00584C42"/>
    <w:rsid w:val="0058539A"/>
    <w:rsid w:val="00586081"/>
    <w:rsid w:val="005869AC"/>
    <w:rsid w:val="00587808"/>
    <w:rsid w:val="00590227"/>
    <w:rsid w:val="005904F4"/>
    <w:rsid w:val="00591413"/>
    <w:rsid w:val="0059500B"/>
    <w:rsid w:val="0059514F"/>
    <w:rsid w:val="0059533B"/>
    <w:rsid w:val="0059587B"/>
    <w:rsid w:val="00597C1A"/>
    <w:rsid w:val="00597CE9"/>
    <w:rsid w:val="005A01A5"/>
    <w:rsid w:val="005A01DF"/>
    <w:rsid w:val="005A038B"/>
    <w:rsid w:val="005A06AA"/>
    <w:rsid w:val="005A104B"/>
    <w:rsid w:val="005A2336"/>
    <w:rsid w:val="005A3CAA"/>
    <w:rsid w:val="005A4E40"/>
    <w:rsid w:val="005A5176"/>
    <w:rsid w:val="005A5577"/>
    <w:rsid w:val="005A737F"/>
    <w:rsid w:val="005B294A"/>
    <w:rsid w:val="005B60A9"/>
    <w:rsid w:val="005B67F8"/>
    <w:rsid w:val="005B6E74"/>
    <w:rsid w:val="005B7DFA"/>
    <w:rsid w:val="005C0020"/>
    <w:rsid w:val="005C331B"/>
    <w:rsid w:val="005C388F"/>
    <w:rsid w:val="005C394F"/>
    <w:rsid w:val="005C3E8F"/>
    <w:rsid w:val="005C466F"/>
    <w:rsid w:val="005C4970"/>
    <w:rsid w:val="005C49BB"/>
    <w:rsid w:val="005C58F7"/>
    <w:rsid w:val="005C64ED"/>
    <w:rsid w:val="005C6706"/>
    <w:rsid w:val="005C7B64"/>
    <w:rsid w:val="005D11AB"/>
    <w:rsid w:val="005D19B5"/>
    <w:rsid w:val="005D3DCB"/>
    <w:rsid w:val="005D3F8F"/>
    <w:rsid w:val="005D547A"/>
    <w:rsid w:val="005D6167"/>
    <w:rsid w:val="005D6931"/>
    <w:rsid w:val="005E073D"/>
    <w:rsid w:val="005E281B"/>
    <w:rsid w:val="005E30AE"/>
    <w:rsid w:val="005E3B7A"/>
    <w:rsid w:val="005E430D"/>
    <w:rsid w:val="005E4741"/>
    <w:rsid w:val="005E5B61"/>
    <w:rsid w:val="005E6060"/>
    <w:rsid w:val="005E63D5"/>
    <w:rsid w:val="005E7069"/>
    <w:rsid w:val="005F1BAE"/>
    <w:rsid w:val="005F35C6"/>
    <w:rsid w:val="005F419D"/>
    <w:rsid w:val="005F556C"/>
    <w:rsid w:val="005F6D3C"/>
    <w:rsid w:val="006001DC"/>
    <w:rsid w:val="00600C32"/>
    <w:rsid w:val="00601140"/>
    <w:rsid w:val="006020E4"/>
    <w:rsid w:val="006021C4"/>
    <w:rsid w:val="00604ED5"/>
    <w:rsid w:val="00606771"/>
    <w:rsid w:val="00610DBD"/>
    <w:rsid w:val="00610DCC"/>
    <w:rsid w:val="00610F91"/>
    <w:rsid w:val="00611BAF"/>
    <w:rsid w:val="006126A8"/>
    <w:rsid w:val="00613023"/>
    <w:rsid w:val="00613D50"/>
    <w:rsid w:val="00614610"/>
    <w:rsid w:val="006154D1"/>
    <w:rsid w:val="00615507"/>
    <w:rsid w:val="00616013"/>
    <w:rsid w:val="00616EC5"/>
    <w:rsid w:val="00620355"/>
    <w:rsid w:val="006207B4"/>
    <w:rsid w:val="00620AC3"/>
    <w:rsid w:val="00621098"/>
    <w:rsid w:val="00622287"/>
    <w:rsid w:val="00622E7E"/>
    <w:rsid w:val="00625022"/>
    <w:rsid w:val="00625DEA"/>
    <w:rsid w:val="006267FD"/>
    <w:rsid w:val="00626CB2"/>
    <w:rsid w:val="006329AD"/>
    <w:rsid w:val="006365BC"/>
    <w:rsid w:val="0063743B"/>
    <w:rsid w:val="006377D2"/>
    <w:rsid w:val="006403F8"/>
    <w:rsid w:val="006409A6"/>
    <w:rsid w:val="00640BC7"/>
    <w:rsid w:val="00641373"/>
    <w:rsid w:val="00641B23"/>
    <w:rsid w:val="006426C1"/>
    <w:rsid w:val="0064295D"/>
    <w:rsid w:val="00642D7C"/>
    <w:rsid w:val="00643211"/>
    <w:rsid w:val="00645579"/>
    <w:rsid w:val="00645851"/>
    <w:rsid w:val="00645DAA"/>
    <w:rsid w:val="00645E76"/>
    <w:rsid w:val="00646BF0"/>
    <w:rsid w:val="00646D89"/>
    <w:rsid w:val="006518CF"/>
    <w:rsid w:val="00651D4A"/>
    <w:rsid w:val="00651DC3"/>
    <w:rsid w:val="00652779"/>
    <w:rsid w:val="0065351E"/>
    <w:rsid w:val="00653EE1"/>
    <w:rsid w:val="00654950"/>
    <w:rsid w:val="006552FE"/>
    <w:rsid w:val="00656EAD"/>
    <w:rsid w:val="00657369"/>
    <w:rsid w:val="00657B96"/>
    <w:rsid w:val="006604AE"/>
    <w:rsid w:val="00660BF1"/>
    <w:rsid w:val="006616D0"/>
    <w:rsid w:val="00661AE7"/>
    <w:rsid w:val="00661B02"/>
    <w:rsid w:val="00662363"/>
    <w:rsid w:val="00664535"/>
    <w:rsid w:val="00664ED8"/>
    <w:rsid w:val="006653B0"/>
    <w:rsid w:val="0066592D"/>
    <w:rsid w:val="006660CE"/>
    <w:rsid w:val="006666FA"/>
    <w:rsid w:val="00666A05"/>
    <w:rsid w:val="00666D32"/>
    <w:rsid w:val="0067026D"/>
    <w:rsid w:val="0067157D"/>
    <w:rsid w:val="00672326"/>
    <w:rsid w:val="006723F0"/>
    <w:rsid w:val="0067450F"/>
    <w:rsid w:val="00675120"/>
    <w:rsid w:val="00675E06"/>
    <w:rsid w:val="0067691E"/>
    <w:rsid w:val="006775F2"/>
    <w:rsid w:val="00677D48"/>
    <w:rsid w:val="00680593"/>
    <w:rsid w:val="00680E2E"/>
    <w:rsid w:val="006814C0"/>
    <w:rsid w:val="00681A21"/>
    <w:rsid w:val="00681C0E"/>
    <w:rsid w:val="0068292D"/>
    <w:rsid w:val="00682AA8"/>
    <w:rsid w:val="00682E77"/>
    <w:rsid w:val="006836E3"/>
    <w:rsid w:val="00683D4B"/>
    <w:rsid w:val="0068433A"/>
    <w:rsid w:val="00686F47"/>
    <w:rsid w:val="00687318"/>
    <w:rsid w:val="0069035B"/>
    <w:rsid w:val="006904E0"/>
    <w:rsid w:val="006939E2"/>
    <w:rsid w:val="00693A82"/>
    <w:rsid w:val="00694389"/>
    <w:rsid w:val="00694AF2"/>
    <w:rsid w:val="00695184"/>
    <w:rsid w:val="00696516"/>
    <w:rsid w:val="0069679A"/>
    <w:rsid w:val="00697582"/>
    <w:rsid w:val="00697FD6"/>
    <w:rsid w:val="006A01D9"/>
    <w:rsid w:val="006A17C8"/>
    <w:rsid w:val="006A1932"/>
    <w:rsid w:val="006A3638"/>
    <w:rsid w:val="006A49A2"/>
    <w:rsid w:val="006A727D"/>
    <w:rsid w:val="006A7A3D"/>
    <w:rsid w:val="006B11C7"/>
    <w:rsid w:val="006B1612"/>
    <w:rsid w:val="006B2DAF"/>
    <w:rsid w:val="006B309A"/>
    <w:rsid w:val="006B4E7A"/>
    <w:rsid w:val="006B52D6"/>
    <w:rsid w:val="006B6223"/>
    <w:rsid w:val="006B648B"/>
    <w:rsid w:val="006B7A00"/>
    <w:rsid w:val="006B7C02"/>
    <w:rsid w:val="006C0155"/>
    <w:rsid w:val="006C0268"/>
    <w:rsid w:val="006C0F95"/>
    <w:rsid w:val="006C3818"/>
    <w:rsid w:val="006C5AFA"/>
    <w:rsid w:val="006C5D9F"/>
    <w:rsid w:val="006C63E0"/>
    <w:rsid w:val="006C6597"/>
    <w:rsid w:val="006C74AE"/>
    <w:rsid w:val="006C7FDF"/>
    <w:rsid w:val="006D0100"/>
    <w:rsid w:val="006D0477"/>
    <w:rsid w:val="006D06AB"/>
    <w:rsid w:val="006D0A9F"/>
    <w:rsid w:val="006D2FE9"/>
    <w:rsid w:val="006D5283"/>
    <w:rsid w:val="006D61AD"/>
    <w:rsid w:val="006D631D"/>
    <w:rsid w:val="006D76E8"/>
    <w:rsid w:val="006E08EF"/>
    <w:rsid w:val="006E0F83"/>
    <w:rsid w:val="006E56AD"/>
    <w:rsid w:val="006E74FC"/>
    <w:rsid w:val="006F0A46"/>
    <w:rsid w:val="006F16FE"/>
    <w:rsid w:val="006F190C"/>
    <w:rsid w:val="006F1976"/>
    <w:rsid w:val="006F21A7"/>
    <w:rsid w:val="006F2565"/>
    <w:rsid w:val="006F2FBA"/>
    <w:rsid w:val="006F409A"/>
    <w:rsid w:val="006F49BF"/>
    <w:rsid w:val="006F4A84"/>
    <w:rsid w:val="006F57BF"/>
    <w:rsid w:val="00700862"/>
    <w:rsid w:val="00703519"/>
    <w:rsid w:val="007059A0"/>
    <w:rsid w:val="00706D4D"/>
    <w:rsid w:val="007070E9"/>
    <w:rsid w:val="00707BBA"/>
    <w:rsid w:val="007100C9"/>
    <w:rsid w:val="00710CAB"/>
    <w:rsid w:val="00710DA6"/>
    <w:rsid w:val="007118B9"/>
    <w:rsid w:val="00712E8A"/>
    <w:rsid w:val="007131A9"/>
    <w:rsid w:val="00713F9D"/>
    <w:rsid w:val="00713FC4"/>
    <w:rsid w:val="00714583"/>
    <w:rsid w:val="007168A3"/>
    <w:rsid w:val="00716C49"/>
    <w:rsid w:val="00716D7D"/>
    <w:rsid w:val="00717C72"/>
    <w:rsid w:val="00720723"/>
    <w:rsid w:val="00722974"/>
    <w:rsid w:val="007232C7"/>
    <w:rsid w:val="00724C47"/>
    <w:rsid w:val="00727626"/>
    <w:rsid w:val="00731643"/>
    <w:rsid w:val="007319EA"/>
    <w:rsid w:val="00732495"/>
    <w:rsid w:val="007340A3"/>
    <w:rsid w:val="00737438"/>
    <w:rsid w:val="00737F5F"/>
    <w:rsid w:val="007402B2"/>
    <w:rsid w:val="007404B1"/>
    <w:rsid w:val="00740DDB"/>
    <w:rsid w:val="0074207E"/>
    <w:rsid w:val="007424C5"/>
    <w:rsid w:val="0074344B"/>
    <w:rsid w:val="0074344D"/>
    <w:rsid w:val="00745509"/>
    <w:rsid w:val="00745832"/>
    <w:rsid w:val="007463DC"/>
    <w:rsid w:val="007468B8"/>
    <w:rsid w:val="007477DC"/>
    <w:rsid w:val="007479FA"/>
    <w:rsid w:val="00747AC3"/>
    <w:rsid w:val="00751F8C"/>
    <w:rsid w:val="007521FF"/>
    <w:rsid w:val="0075237D"/>
    <w:rsid w:val="00752429"/>
    <w:rsid w:val="00752E42"/>
    <w:rsid w:val="00753D5B"/>
    <w:rsid w:val="007543D9"/>
    <w:rsid w:val="0075504B"/>
    <w:rsid w:val="00755E27"/>
    <w:rsid w:val="00761A27"/>
    <w:rsid w:val="0076226B"/>
    <w:rsid w:val="0076264D"/>
    <w:rsid w:val="00762EAF"/>
    <w:rsid w:val="007638AF"/>
    <w:rsid w:val="00764C3C"/>
    <w:rsid w:val="00765EBD"/>
    <w:rsid w:val="007662EB"/>
    <w:rsid w:val="00766732"/>
    <w:rsid w:val="0076765C"/>
    <w:rsid w:val="00767FE1"/>
    <w:rsid w:val="0077080C"/>
    <w:rsid w:val="00770CD8"/>
    <w:rsid w:val="00771770"/>
    <w:rsid w:val="007734D9"/>
    <w:rsid w:val="00773D9F"/>
    <w:rsid w:val="007740F5"/>
    <w:rsid w:val="00774C85"/>
    <w:rsid w:val="00775320"/>
    <w:rsid w:val="00777644"/>
    <w:rsid w:val="00777B9C"/>
    <w:rsid w:val="00777FC9"/>
    <w:rsid w:val="00780064"/>
    <w:rsid w:val="00780FAB"/>
    <w:rsid w:val="00781B19"/>
    <w:rsid w:val="00781B23"/>
    <w:rsid w:val="00781D96"/>
    <w:rsid w:val="00782EFC"/>
    <w:rsid w:val="00783123"/>
    <w:rsid w:val="007838B9"/>
    <w:rsid w:val="00784E95"/>
    <w:rsid w:val="00787BB3"/>
    <w:rsid w:val="00790390"/>
    <w:rsid w:val="00790B48"/>
    <w:rsid w:val="00791197"/>
    <w:rsid w:val="00791831"/>
    <w:rsid w:val="00791EDE"/>
    <w:rsid w:val="007948C4"/>
    <w:rsid w:val="007956EA"/>
    <w:rsid w:val="00795722"/>
    <w:rsid w:val="0079572D"/>
    <w:rsid w:val="00795DE2"/>
    <w:rsid w:val="00795EE1"/>
    <w:rsid w:val="00796776"/>
    <w:rsid w:val="0079707A"/>
    <w:rsid w:val="00797353"/>
    <w:rsid w:val="007A1189"/>
    <w:rsid w:val="007B150F"/>
    <w:rsid w:val="007B1E3B"/>
    <w:rsid w:val="007B2D6F"/>
    <w:rsid w:val="007B2DE8"/>
    <w:rsid w:val="007B4898"/>
    <w:rsid w:val="007B50F8"/>
    <w:rsid w:val="007B79DD"/>
    <w:rsid w:val="007C02DB"/>
    <w:rsid w:val="007C08E0"/>
    <w:rsid w:val="007C1080"/>
    <w:rsid w:val="007C1123"/>
    <w:rsid w:val="007C15C1"/>
    <w:rsid w:val="007C2035"/>
    <w:rsid w:val="007C4FC5"/>
    <w:rsid w:val="007C5D1B"/>
    <w:rsid w:val="007C7991"/>
    <w:rsid w:val="007C79D8"/>
    <w:rsid w:val="007D1264"/>
    <w:rsid w:val="007D1F5F"/>
    <w:rsid w:val="007D218C"/>
    <w:rsid w:val="007D2386"/>
    <w:rsid w:val="007D33E8"/>
    <w:rsid w:val="007D3880"/>
    <w:rsid w:val="007D3A11"/>
    <w:rsid w:val="007D3CC1"/>
    <w:rsid w:val="007D3FFF"/>
    <w:rsid w:val="007D4D12"/>
    <w:rsid w:val="007D6E92"/>
    <w:rsid w:val="007E008E"/>
    <w:rsid w:val="007E0BB3"/>
    <w:rsid w:val="007E3B0F"/>
    <w:rsid w:val="007E4E37"/>
    <w:rsid w:val="007E4FA1"/>
    <w:rsid w:val="007E539E"/>
    <w:rsid w:val="007E68AD"/>
    <w:rsid w:val="007E79A1"/>
    <w:rsid w:val="007F00DA"/>
    <w:rsid w:val="007F0134"/>
    <w:rsid w:val="007F08C6"/>
    <w:rsid w:val="007F0AF1"/>
    <w:rsid w:val="007F2356"/>
    <w:rsid w:val="007F284A"/>
    <w:rsid w:val="007F3433"/>
    <w:rsid w:val="007F4190"/>
    <w:rsid w:val="007F58F4"/>
    <w:rsid w:val="007F6F75"/>
    <w:rsid w:val="007F7908"/>
    <w:rsid w:val="007F7912"/>
    <w:rsid w:val="007F7EB8"/>
    <w:rsid w:val="00800908"/>
    <w:rsid w:val="00800B1F"/>
    <w:rsid w:val="0080106A"/>
    <w:rsid w:val="008015DB"/>
    <w:rsid w:val="00803ACF"/>
    <w:rsid w:val="00803BAD"/>
    <w:rsid w:val="008041A1"/>
    <w:rsid w:val="00804843"/>
    <w:rsid w:val="00804B0A"/>
    <w:rsid w:val="00804E44"/>
    <w:rsid w:val="0080574B"/>
    <w:rsid w:val="008058FD"/>
    <w:rsid w:val="008059D0"/>
    <w:rsid w:val="00806A48"/>
    <w:rsid w:val="00806CDF"/>
    <w:rsid w:val="00810689"/>
    <w:rsid w:val="00811A5B"/>
    <w:rsid w:val="008120C4"/>
    <w:rsid w:val="0081289B"/>
    <w:rsid w:val="00812976"/>
    <w:rsid w:val="00815FE9"/>
    <w:rsid w:val="0082022B"/>
    <w:rsid w:val="00821321"/>
    <w:rsid w:val="008213C1"/>
    <w:rsid w:val="00822F81"/>
    <w:rsid w:val="00825E91"/>
    <w:rsid w:val="00826AE3"/>
    <w:rsid w:val="00826EF8"/>
    <w:rsid w:val="008279D1"/>
    <w:rsid w:val="00827C66"/>
    <w:rsid w:val="008317CC"/>
    <w:rsid w:val="00832982"/>
    <w:rsid w:val="00832E82"/>
    <w:rsid w:val="00833223"/>
    <w:rsid w:val="0083332B"/>
    <w:rsid w:val="00833712"/>
    <w:rsid w:val="00834802"/>
    <w:rsid w:val="00834EBB"/>
    <w:rsid w:val="00835854"/>
    <w:rsid w:val="008361C5"/>
    <w:rsid w:val="0083665B"/>
    <w:rsid w:val="00836CFA"/>
    <w:rsid w:val="00837CBD"/>
    <w:rsid w:val="00841084"/>
    <w:rsid w:val="0084109A"/>
    <w:rsid w:val="00841DD2"/>
    <w:rsid w:val="00842304"/>
    <w:rsid w:val="00842BFE"/>
    <w:rsid w:val="00843319"/>
    <w:rsid w:val="00844B3C"/>
    <w:rsid w:val="00844FB9"/>
    <w:rsid w:val="00847FB5"/>
    <w:rsid w:val="00851121"/>
    <w:rsid w:val="00852C58"/>
    <w:rsid w:val="00852F53"/>
    <w:rsid w:val="008534D8"/>
    <w:rsid w:val="00854CBC"/>
    <w:rsid w:val="00854EEA"/>
    <w:rsid w:val="008555D3"/>
    <w:rsid w:val="0085663F"/>
    <w:rsid w:val="00857E22"/>
    <w:rsid w:val="00857FCC"/>
    <w:rsid w:val="008603A4"/>
    <w:rsid w:val="00860DE2"/>
    <w:rsid w:val="008616CE"/>
    <w:rsid w:val="00861CEC"/>
    <w:rsid w:val="00862593"/>
    <w:rsid w:val="00862804"/>
    <w:rsid w:val="008632DC"/>
    <w:rsid w:val="00865FC0"/>
    <w:rsid w:val="00866C9F"/>
    <w:rsid w:val="0087008B"/>
    <w:rsid w:val="00870696"/>
    <w:rsid w:val="0087078D"/>
    <w:rsid w:val="00871134"/>
    <w:rsid w:val="008713FD"/>
    <w:rsid w:val="008715AD"/>
    <w:rsid w:val="0087308F"/>
    <w:rsid w:val="00874FE6"/>
    <w:rsid w:val="00875B07"/>
    <w:rsid w:val="00875FA6"/>
    <w:rsid w:val="00880675"/>
    <w:rsid w:val="00880B7D"/>
    <w:rsid w:val="008829F9"/>
    <w:rsid w:val="00883F0C"/>
    <w:rsid w:val="00884660"/>
    <w:rsid w:val="008850B5"/>
    <w:rsid w:val="008866E7"/>
    <w:rsid w:val="00886DD4"/>
    <w:rsid w:val="00890674"/>
    <w:rsid w:val="008917A5"/>
    <w:rsid w:val="00892E9A"/>
    <w:rsid w:val="0089496A"/>
    <w:rsid w:val="0089768D"/>
    <w:rsid w:val="00897B73"/>
    <w:rsid w:val="008A0388"/>
    <w:rsid w:val="008A0FF3"/>
    <w:rsid w:val="008A1245"/>
    <w:rsid w:val="008A15C7"/>
    <w:rsid w:val="008A183F"/>
    <w:rsid w:val="008A1AF8"/>
    <w:rsid w:val="008A1FE3"/>
    <w:rsid w:val="008A2535"/>
    <w:rsid w:val="008A2F2D"/>
    <w:rsid w:val="008A2F65"/>
    <w:rsid w:val="008A5173"/>
    <w:rsid w:val="008A605F"/>
    <w:rsid w:val="008A6769"/>
    <w:rsid w:val="008A67CB"/>
    <w:rsid w:val="008A6FFF"/>
    <w:rsid w:val="008A7A0E"/>
    <w:rsid w:val="008B0EEA"/>
    <w:rsid w:val="008B1747"/>
    <w:rsid w:val="008B1827"/>
    <w:rsid w:val="008B2D8C"/>
    <w:rsid w:val="008B3948"/>
    <w:rsid w:val="008B455D"/>
    <w:rsid w:val="008B4DAD"/>
    <w:rsid w:val="008B695A"/>
    <w:rsid w:val="008B6C49"/>
    <w:rsid w:val="008C15B9"/>
    <w:rsid w:val="008C1791"/>
    <w:rsid w:val="008C2002"/>
    <w:rsid w:val="008C4C91"/>
    <w:rsid w:val="008C60BA"/>
    <w:rsid w:val="008D0821"/>
    <w:rsid w:val="008D11E6"/>
    <w:rsid w:val="008D37DD"/>
    <w:rsid w:val="008D435D"/>
    <w:rsid w:val="008D6B77"/>
    <w:rsid w:val="008D70B8"/>
    <w:rsid w:val="008D7EAB"/>
    <w:rsid w:val="008D7EB5"/>
    <w:rsid w:val="008E2A4C"/>
    <w:rsid w:val="008E2D9E"/>
    <w:rsid w:val="008E52C6"/>
    <w:rsid w:val="008E6049"/>
    <w:rsid w:val="008E610F"/>
    <w:rsid w:val="008E72FE"/>
    <w:rsid w:val="008F18F4"/>
    <w:rsid w:val="008F3740"/>
    <w:rsid w:val="008F4B72"/>
    <w:rsid w:val="008F4B8E"/>
    <w:rsid w:val="008F5BFA"/>
    <w:rsid w:val="008F6287"/>
    <w:rsid w:val="008F7002"/>
    <w:rsid w:val="008F745D"/>
    <w:rsid w:val="008F7C35"/>
    <w:rsid w:val="008F7CA8"/>
    <w:rsid w:val="00901AA3"/>
    <w:rsid w:val="00901AB5"/>
    <w:rsid w:val="00902187"/>
    <w:rsid w:val="00902C03"/>
    <w:rsid w:val="009049AE"/>
    <w:rsid w:val="00904E38"/>
    <w:rsid w:val="00904FE2"/>
    <w:rsid w:val="00905398"/>
    <w:rsid w:val="009053BC"/>
    <w:rsid w:val="00906FB3"/>
    <w:rsid w:val="00907B81"/>
    <w:rsid w:val="00913121"/>
    <w:rsid w:val="0091360C"/>
    <w:rsid w:val="00913BAB"/>
    <w:rsid w:val="00915775"/>
    <w:rsid w:val="009166E6"/>
    <w:rsid w:val="009201F8"/>
    <w:rsid w:val="009223AC"/>
    <w:rsid w:val="0092420E"/>
    <w:rsid w:val="009244A5"/>
    <w:rsid w:val="0092471A"/>
    <w:rsid w:val="00924746"/>
    <w:rsid w:val="0092494C"/>
    <w:rsid w:val="00927D56"/>
    <w:rsid w:val="00927DBF"/>
    <w:rsid w:val="009313D4"/>
    <w:rsid w:val="009314A2"/>
    <w:rsid w:val="00932B52"/>
    <w:rsid w:val="00933D3B"/>
    <w:rsid w:val="00933DC3"/>
    <w:rsid w:val="00934304"/>
    <w:rsid w:val="0093460E"/>
    <w:rsid w:val="00935615"/>
    <w:rsid w:val="009373BF"/>
    <w:rsid w:val="00937D31"/>
    <w:rsid w:val="00940278"/>
    <w:rsid w:val="00940722"/>
    <w:rsid w:val="00941063"/>
    <w:rsid w:val="009425F2"/>
    <w:rsid w:val="00942B2A"/>
    <w:rsid w:val="0094603D"/>
    <w:rsid w:val="00950419"/>
    <w:rsid w:val="00951CFF"/>
    <w:rsid w:val="009520D4"/>
    <w:rsid w:val="00952BED"/>
    <w:rsid w:val="009570E2"/>
    <w:rsid w:val="00957BEC"/>
    <w:rsid w:val="00961237"/>
    <w:rsid w:val="00961606"/>
    <w:rsid w:val="00961B39"/>
    <w:rsid w:val="00963077"/>
    <w:rsid w:val="0096339F"/>
    <w:rsid w:val="009636A6"/>
    <w:rsid w:val="00964FB3"/>
    <w:rsid w:val="0096607F"/>
    <w:rsid w:val="00966C2B"/>
    <w:rsid w:val="00967340"/>
    <w:rsid w:val="009676E4"/>
    <w:rsid w:val="00967C51"/>
    <w:rsid w:val="00970245"/>
    <w:rsid w:val="00970425"/>
    <w:rsid w:val="00970C82"/>
    <w:rsid w:val="009715B7"/>
    <w:rsid w:val="00971761"/>
    <w:rsid w:val="00971A22"/>
    <w:rsid w:val="009727E9"/>
    <w:rsid w:val="0097298A"/>
    <w:rsid w:val="009739FA"/>
    <w:rsid w:val="00974A41"/>
    <w:rsid w:val="009755C5"/>
    <w:rsid w:val="00975CF4"/>
    <w:rsid w:val="0097606A"/>
    <w:rsid w:val="00976406"/>
    <w:rsid w:val="009765F0"/>
    <w:rsid w:val="009776F5"/>
    <w:rsid w:val="009801FF"/>
    <w:rsid w:val="00980C26"/>
    <w:rsid w:val="009824B4"/>
    <w:rsid w:val="00982C4B"/>
    <w:rsid w:val="009844B8"/>
    <w:rsid w:val="00984E01"/>
    <w:rsid w:val="00985298"/>
    <w:rsid w:val="00985C95"/>
    <w:rsid w:val="00987679"/>
    <w:rsid w:val="00987C89"/>
    <w:rsid w:val="0099014F"/>
    <w:rsid w:val="009905AF"/>
    <w:rsid w:val="009915D7"/>
    <w:rsid w:val="00992F31"/>
    <w:rsid w:val="009938C6"/>
    <w:rsid w:val="00993BF8"/>
    <w:rsid w:val="009945B8"/>
    <w:rsid w:val="00994923"/>
    <w:rsid w:val="00994AAD"/>
    <w:rsid w:val="009963BC"/>
    <w:rsid w:val="0099688C"/>
    <w:rsid w:val="00996C4E"/>
    <w:rsid w:val="0099710B"/>
    <w:rsid w:val="009A02CB"/>
    <w:rsid w:val="009A0846"/>
    <w:rsid w:val="009A0DA1"/>
    <w:rsid w:val="009A1334"/>
    <w:rsid w:val="009A2BB8"/>
    <w:rsid w:val="009A2BEC"/>
    <w:rsid w:val="009A2FE7"/>
    <w:rsid w:val="009A33F1"/>
    <w:rsid w:val="009A380A"/>
    <w:rsid w:val="009A4D32"/>
    <w:rsid w:val="009A5807"/>
    <w:rsid w:val="009A5F8D"/>
    <w:rsid w:val="009A6DCB"/>
    <w:rsid w:val="009A7383"/>
    <w:rsid w:val="009A76A7"/>
    <w:rsid w:val="009A7A21"/>
    <w:rsid w:val="009A7A5C"/>
    <w:rsid w:val="009B0B5D"/>
    <w:rsid w:val="009B1CBE"/>
    <w:rsid w:val="009B4222"/>
    <w:rsid w:val="009B44B0"/>
    <w:rsid w:val="009B5A2A"/>
    <w:rsid w:val="009C07AB"/>
    <w:rsid w:val="009C1152"/>
    <w:rsid w:val="009C1D2C"/>
    <w:rsid w:val="009C28FD"/>
    <w:rsid w:val="009C3408"/>
    <w:rsid w:val="009C410F"/>
    <w:rsid w:val="009C43C8"/>
    <w:rsid w:val="009C55F4"/>
    <w:rsid w:val="009C7588"/>
    <w:rsid w:val="009D04B0"/>
    <w:rsid w:val="009D0AD1"/>
    <w:rsid w:val="009D139A"/>
    <w:rsid w:val="009D1AEC"/>
    <w:rsid w:val="009D1E78"/>
    <w:rsid w:val="009D53C6"/>
    <w:rsid w:val="009D634D"/>
    <w:rsid w:val="009D6F9A"/>
    <w:rsid w:val="009E37E1"/>
    <w:rsid w:val="009E4A14"/>
    <w:rsid w:val="009E530A"/>
    <w:rsid w:val="009E5C7A"/>
    <w:rsid w:val="009E5F87"/>
    <w:rsid w:val="009E67E1"/>
    <w:rsid w:val="009E68BA"/>
    <w:rsid w:val="009E737D"/>
    <w:rsid w:val="009E79AA"/>
    <w:rsid w:val="009F0168"/>
    <w:rsid w:val="009F0808"/>
    <w:rsid w:val="009F0C5B"/>
    <w:rsid w:val="009F0CFE"/>
    <w:rsid w:val="009F1C74"/>
    <w:rsid w:val="009F3306"/>
    <w:rsid w:val="009F35A8"/>
    <w:rsid w:val="009F5ACA"/>
    <w:rsid w:val="009F5B25"/>
    <w:rsid w:val="009F610B"/>
    <w:rsid w:val="00A00C25"/>
    <w:rsid w:val="00A00D9E"/>
    <w:rsid w:val="00A01AB9"/>
    <w:rsid w:val="00A03D17"/>
    <w:rsid w:val="00A05092"/>
    <w:rsid w:val="00A057D2"/>
    <w:rsid w:val="00A05890"/>
    <w:rsid w:val="00A05D2C"/>
    <w:rsid w:val="00A061E4"/>
    <w:rsid w:val="00A072F2"/>
    <w:rsid w:val="00A105BE"/>
    <w:rsid w:val="00A12643"/>
    <w:rsid w:val="00A12970"/>
    <w:rsid w:val="00A130CF"/>
    <w:rsid w:val="00A13221"/>
    <w:rsid w:val="00A1574A"/>
    <w:rsid w:val="00A17443"/>
    <w:rsid w:val="00A20275"/>
    <w:rsid w:val="00A217B4"/>
    <w:rsid w:val="00A224E7"/>
    <w:rsid w:val="00A22B80"/>
    <w:rsid w:val="00A24A5B"/>
    <w:rsid w:val="00A2510D"/>
    <w:rsid w:val="00A255FC"/>
    <w:rsid w:val="00A27A56"/>
    <w:rsid w:val="00A3075A"/>
    <w:rsid w:val="00A3299F"/>
    <w:rsid w:val="00A33105"/>
    <w:rsid w:val="00A332A2"/>
    <w:rsid w:val="00A3396E"/>
    <w:rsid w:val="00A34386"/>
    <w:rsid w:val="00A37255"/>
    <w:rsid w:val="00A373DE"/>
    <w:rsid w:val="00A37F76"/>
    <w:rsid w:val="00A40249"/>
    <w:rsid w:val="00A40F91"/>
    <w:rsid w:val="00A41BCC"/>
    <w:rsid w:val="00A500E2"/>
    <w:rsid w:val="00A502F6"/>
    <w:rsid w:val="00A508C7"/>
    <w:rsid w:val="00A517E6"/>
    <w:rsid w:val="00A51FF7"/>
    <w:rsid w:val="00A53235"/>
    <w:rsid w:val="00A5472C"/>
    <w:rsid w:val="00A54AEC"/>
    <w:rsid w:val="00A54F10"/>
    <w:rsid w:val="00A5608E"/>
    <w:rsid w:val="00A56FE4"/>
    <w:rsid w:val="00A63522"/>
    <w:rsid w:val="00A63D7E"/>
    <w:rsid w:val="00A644E1"/>
    <w:rsid w:val="00A6644C"/>
    <w:rsid w:val="00A676CB"/>
    <w:rsid w:val="00A708BB"/>
    <w:rsid w:val="00A7310A"/>
    <w:rsid w:val="00A7358D"/>
    <w:rsid w:val="00A73A25"/>
    <w:rsid w:val="00A7497F"/>
    <w:rsid w:val="00A751F6"/>
    <w:rsid w:val="00A756EE"/>
    <w:rsid w:val="00A7644A"/>
    <w:rsid w:val="00A7728F"/>
    <w:rsid w:val="00A77F5D"/>
    <w:rsid w:val="00A77FD5"/>
    <w:rsid w:val="00A8149C"/>
    <w:rsid w:val="00A8194D"/>
    <w:rsid w:val="00A823A2"/>
    <w:rsid w:val="00A827E5"/>
    <w:rsid w:val="00A8328F"/>
    <w:rsid w:val="00A842E2"/>
    <w:rsid w:val="00A8597D"/>
    <w:rsid w:val="00A864CC"/>
    <w:rsid w:val="00A869D7"/>
    <w:rsid w:val="00A87EC1"/>
    <w:rsid w:val="00A900A1"/>
    <w:rsid w:val="00A9020D"/>
    <w:rsid w:val="00A90DE3"/>
    <w:rsid w:val="00A91A14"/>
    <w:rsid w:val="00A91C38"/>
    <w:rsid w:val="00A93AF7"/>
    <w:rsid w:val="00A9487F"/>
    <w:rsid w:val="00A94C0B"/>
    <w:rsid w:val="00A9584D"/>
    <w:rsid w:val="00A959A5"/>
    <w:rsid w:val="00A9672D"/>
    <w:rsid w:val="00A969A5"/>
    <w:rsid w:val="00AA2A93"/>
    <w:rsid w:val="00AA30E9"/>
    <w:rsid w:val="00AA423A"/>
    <w:rsid w:val="00AA6198"/>
    <w:rsid w:val="00AA620F"/>
    <w:rsid w:val="00AA6481"/>
    <w:rsid w:val="00AA6839"/>
    <w:rsid w:val="00AA6915"/>
    <w:rsid w:val="00AB1A6F"/>
    <w:rsid w:val="00AB295A"/>
    <w:rsid w:val="00AB3555"/>
    <w:rsid w:val="00AB4119"/>
    <w:rsid w:val="00AB4B9D"/>
    <w:rsid w:val="00AB654A"/>
    <w:rsid w:val="00AC0E79"/>
    <w:rsid w:val="00AC1F8A"/>
    <w:rsid w:val="00AC25A1"/>
    <w:rsid w:val="00AC3B92"/>
    <w:rsid w:val="00AC3E4D"/>
    <w:rsid w:val="00AC58C7"/>
    <w:rsid w:val="00AC6116"/>
    <w:rsid w:val="00AC66AD"/>
    <w:rsid w:val="00AC70EF"/>
    <w:rsid w:val="00AC77FB"/>
    <w:rsid w:val="00AD00B0"/>
    <w:rsid w:val="00AD2823"/>
    <w:rsid w:val="00AD3121"/>
    <w:rsid w:val="00AD7376"/>
    <w:rsid w:val="00AE111E"/>
    <w:rsid w:val="00AE1A77"/>
    <w:rsid w:val="00AE4612"/>
    <w:rsid w:val="00AE7352"/>
    <w:rsid w:val="00AE736D"/>
    <w:rsid w:val="00AF0594"/>
    <w:rsid w:val="00AF06A5"/>
    <w:rsid w:val="00AF1AC3"/>
    <w:rsid w:val="00AF2316"/>
    <w:rsid w:val="00AF32CC"/>
    <w:rsid w:val="00AF355D"/>
    <w:rsid w:val="00AF578B"/>
    <w:rsid w:val="00AF5991"/>
    <w:rsid w:val="00AF6527"/>
    <w:rsid w:val="00B0046D"/>
    <w:rsid w:val="00B01C6B"/>
    <w:rsid w:val="00B025E8"/>
    <w:rsid w:val="00B03CB5"/>
    <w:rsid w:val="00B03D32"/>
    <w:rsid w:val="00B0417A"/>
    <w:rsid w:val="00B042C9"/>
    <w:rsid w:val="00B057BC"/>
    <w:rsid w:val="00B108E3"/>
    <w:rsid w:val="00B115FF"/>
    <w:rsid w:val="00B1182C"/>
    <w:rsid w:val="00B128E6"/>
    <w:rsid w:val="00B12951"/>
    <w:rsid w:val="00B13749"/>
    <w:rsid w:val="00B13B05"/>
    <w:rsid w:val="00B163A2"/>
    <w:rsid w:val="00B1668F"/>
    <w:rsid w:val="00B20594"/>
    <w:rsid w:val="00B219A6"/>
    <w:rsid w:val="00B22961"/>
    <w:rsid w:val="00B22AA4"/>
    <w:rsid w:val="00B232ED"/>
    <w:rsid w:val="00B2485F"/>
    <w:rsid w:val="00B24991"/>
    <w:rsid w:val="00B252DE"/>
    <w:rsid w:val="00B25B95"/>
    <w:rsid w:val="00B272FD"/>
    <w:rsid w:val="00B27479"/>
    <w:rsid w:val="00B27A00"/>
    <w:rsid w:val="00B3006E"/>
    <w:rsid w:val="00B32856"/>
    <w:rsid w:val="00B329FE"/>
    <w:rsid w:val="00B345D6"/>
    <w:rsid w:val="00B3489C"/>
    <w:rsid w:val="00B34CD2"/>
    <w:rsid w:val="00B35101"/>
    <w:rsid w:val="00B3567C"/>
    <w:rsid w:val="00B35917"/>
    <w:rsid w:val="00B35F14"/>
    <w:rsid w:val="00B36182"/>
    <w:rsid w:val="00B36B9B"/>
    <w:rsid w:val="00B36CD0"/>
    <w:rsid w:val="00B3722F"/>
    <w:rsid w:val="00B372E4"/>
    <w:rsid w:val="00B37758"/>
    <w:rsid w:val="00B40765"/>
    <w:rsid w:val="00B42570"/>
    <w:rsid w:val="00B44BFD"/>
    <w:rsid w:val="00B45CC8"/>
    <w:rsid w:val="00B462C3"/>
    <w:rsid w:val="00B47037"/>
    <w:rsid w:val="00B52048"/>
    <w:rsid w:val="00B529A7"/>
    <w:rsid w:val="00B55B35"/>
    <w:rsid w:val="00B6178C"/>
    <w:rsid w:val="00B62694"/>
    <w:rsid w:val="00B62772"/>
    <w:rsid w:val="00B628FA"/>
    <w:rsid w:val="00B63F9B"/>
    <w:rsid w:val="00B648BA"/>
    <w:rsid w:val="00B652DE"/>
    <w:rsid w:val="00B65CAF"/>
    <w:rsid w:val="00B6668E"/>
    <w:rsid w:val="00B673C9"/>
    <w:rsid w:val="00B67A23"/>
    <w:rsid w:val="00B70DF5"/>
    <w:rsid w:val="00B72020"/>
    <w:rsid w:val="00B74195"/>
    <w:rsid w:val="00B75944"/>
    <w:rsid w:val="00B76E6F"/>
    <w:rsid w:val="00B77600"/>
    <w:rsid w:val="00B777FE"/>
    <w:rsid w:val="00B80048"/>
    <w:rsid w:val="00B803C6"/>
    <w:rsid w:val="00B81785"/>
    <w:rsid w:val="00B8262A"/>
    <w:rsid w:val="00B832E1"/>
    <w:rsid w:val="00B850E0"/>
    <w:rsid w:val="00B87A58"/>
    <w:rsid w:val="00B90562"/>
    <w:rsid w:val="00B906A1"/>
    <w:rsid w:val="00B90C47"/>
    <w:rsid w:val="00B90CCC"/>
    <w:rsid w:val="00B937E5"/>
    <w:rsid w:val="00B93835"/>
    <w:rsid w:val="00B93B8F"/>
    <w:rsid w:val="00B93C78"/>
    <w:rsid w:val="00B94707"/>
    <w:rsid w:val="00B94D24"/>
    <w:rsid w:val="00B94E0B"/>
    <w:rsid w:val="00B957E4"/>
    <w:rsid w:val="00B95BDB"/>
    <w:rsid w:val="00B9615D"/>
    <w:rsid w:val="00B96F04"/>
    <w:rsid w:val="00B96F12"/>
    <w:rsid w:val="00B9778A"/>
    <w:rsid w:val="00BA1200"/>
    <w:rsid w:val="00BA32AD"/>
    <w:rsid w:val="00BA3391"/>
    <w:rsid w:val="00BA3C16"/>
    <w:rsid w:val="00BA3E51"/>
    <w:rsid w:val="00BA4689"/>
    <w:rsid w:val="00BB04E2"/>
    <w:rsid w:val="00BB06CB"/>
    <w:rsid w:val="00BB33F5"/>
    <w:rsid w:val="00BB36E3"/>
    <w:rsid w:val="00BB3E0A"/>
    <w:rsid w:val="00BB54DE"/>
    <w:rsid w:val="00BB5611"/>
    <w:rsid w:val="00BB64B3"/>
    <w:rsid w:val="00BB66FE"/>
    <w:rsid w:val="00BB6C76"/>
    <w:rsid w:val="00BB6D4C"/>
    <w:rsid w:val="00BB7BD0"/>
    <w:rsid w:val="00BC11B1"/>
    <w:rsid w:val="00BC3139"/>
    <w:rsid w:val="00BC3B66"/>
    <w:rsid w:val="00BC4276"/>
    <w:rsid w:val="00BC47E2"/>
    <w:rsid w:val="00BC4B2F"/>
    <w:rsid w:val="00BC5E42"/>
    <w:rsid w:val="00BC621A"/>
    <w:rsid w:val="00BC6286"/>
    <w:rsid w:val="00BC6F28"/>
    <w:rsid w:val="00BC73A4"/>
    <w:rsid w:val="00BD05BA"/>
    <w:rsid w:val="00BD1303"/>
    <w:rsid w:val="00BD15BE"/>
    <w:rsid w:val="00BD1FCF"/>
    <w:rsid w:val="00BD2143"/>
    <w:rsid w:val="00BD29BC"/>
    <w:rsid w:val="00BD2DE4"/>
    <w:rsid w:val="00BD45FE"/>
    <w:rsid w:val="00BD4A10"/>
    <w:rsid w:val="00BD693D"/>
    <w:rsid w:val="00BD7E36"/>
    <w:rsid w:val="00BE0F97"/>
    <w:rsid w:val="00BE1B41"/>
    <w:rsid w:val="00BE29B4"/>
    <w:rsid w:val="00BE36D7"/>
    <w:rsid w:val="00BE3D1B"/>
    <w:rsid w:val="00BE46F8"/>
    <w:rsid w:val="00BE4B09"/>
    <w:rsid w:val="00BE502F"/>
    <w:rsid w:val="00BE5405"/>
    <w:rsid w:val="00BE6130"/>
    <w:rsid w:val="00BE6ACE"/>
    <w:rsid w:val="00BE715E"/>
    <w:rsid w:val="00BE7AE6"/>
    <w:rsid w:val="00BE7BA6"/>
    <w:rsid w:val="00BF1292"/>
    <w:rsid w:val="00BF1340"/>
    <w:rsid w:val="00BF17D4"/>
    <w:rsid w:val="00BF1CB7"/>
    <w:rsid w:val="00BF1FC3"/>
    <w:rsid w:val="00BF28DC"/>
    <w:rsid w:val="00BF4FEF"/>
    <w:rsid w:val="00BF56E0"/>
    <w:rsid w:val="00BF5746"/>
    <w:rsid w:val="00BF5EAC"/>
    <w:rsid w:val="00C028A6"/>
    <w:rsid w:val="00C032E8"/>
    <w:rsid w:val="00C03CCC"/>
    <w:rsid w:val="00C04599"/>
    <w:rsid w:val="00C0492C"/>
    <w:rsid w:val="00C04A4B"/>
    <w:rsid w:val="00C04D2E"/>
    <w:rsid w:val="00C07377"/>
    <w:rsid w:val="00C073D0"/>
    <w:rsid w:val="00C11713"/>
    <w:rsid w:val="00C11C8D"/>
    <w:rsid w:val="00C12566"/>
    <w:rsid w:val="00C12B8C"/>
    <w:rsid w:val="00C152D3"/>
    <w:rsid w:val="00C166E0"/>
    <w:rsid w:val="00C21B57"/>
    <w:rsid w:val="00C21B86"/>
    <w:rsid w:val="00C21D73"/>
    <w:rsid w:val="00C2282B"/>
    <w:rsid w:val="00C230A9"/>
    <w:rsid w:val="00C233DD"/>
    <w:rsid w:val="00C2372C"/>
    <w:rsid w:val="00C23737"/>
    <w:rsid w:val="00C24E5B"/>
    <w:rsid w:val="00C24F0B"/>
    <w:rsid w:val="00C25B59"/>
    <w:rsid w:val="00C2647D"/>
    <w:rsid w:val="00C26D72"/>
    <w:rsid w:val="00C27DE9"/>
    <w:rsid w:val="00C30AB6"/>
    <w:rsid w:val="00C30BAE"/>
    <w:rsid w:val="00C3129C"/>
    <w:rsid w:val="00C317AA"/>
    <w:rsid w:val="00C31E85"/>
    <w:rsid w:val="00C31EB3"/>
    <w:rsid w:val="00C32203"/>
    <w:rsid w:val="00C338AC"/>
    <w:rsid w:val="00C36C37"/>
    <w:rsid w:val="00C36DFD"/>
    <w:rsid w:val="00C370C0"/>
    <w:rsid w:val="00C37155"/>
    <w:rsid w:val="00C43A49"/>
    <w:rsid w:val="00C440EE"/>
    <w:rsid w:val="00C44E1D"/>
    <w:rsid w:val="00C45AB6"/>
    <w:rsid w:val="00C46E1B"/>
    <w:rsid w:val="00C5180B"/>
    <w:rsid w:val="00C523C6"/>
    <w:rsid w:val="00C528C3"/>
    <w:rsid w:val="00C531A2"/>
    <w:rsid w:val="00C53FBF"/>
    <w:rsid w:val="00C54E7B"/>
    <w:rsid w:val="00C551DF"/>
    <w:rsid w:val="00C55AC1"/>
    <w:rsid w:val="00C57197"/>
    <w:rsid w:val="00C579B2"/>
    <w:rsid w:val="00C57F35"/>
    <w:rsid w:val="00C60005"/>
    <w:rsid w:val="00C602D1"/>
    <w:rsid w:val="00C60C81"/>
    <w:rsid w:val="00C616C8"/>
    <w:rsid w:val="00C61F28"/>
    <w:rsid w:val="00C6246D"/>
    <w:rsid w:val="00C62FA9"/>
    <w:rsid w:val="00C63B64"/>
    <w:rsid w:val="00C6412C"/>
    <w:rsid w:val="00C659C9"/>
    <w:rsid w:val="00C67499"/>
    <w:rsid w:val="00C70718"/>
    <w:rsid w:val="00C711FB"/>
    <w:rsid w:val="00C72771"/>
    <w:rsid w:val="00C736EC"/>
    <w:rsid w:val="00C73A3F"/>
    <w:rsid w:val="00C7515B"/>
    <w:rsid w:val="00C75E90"/>
    <w:rsid w:val="00C763BD"/>
    <w:rsid w:val="00C76B9B"/>
    <w:rsid w:val="00C7736E"/>
    <w:rsid w:val="00C83F04"/>
    <w:rsid w:val="00C84275"/>
    <w:rsid w:val="00C84609"/>
    <w:rsid w:val="00C84C30"/>
    <w:rsid w:val="00C86AF7"/>
    <w:rsid w:val="00C871A8"/>
    <w:rsid w:val="00C9089B"/>
    <w:rsid w:val="00C90DDD"/>
    <w:rsid w:val="00C91810"/>
    <w:rsid w:val="00C928C2"/>
    <w:rsid w:val="00C9303F"/>
    <w:rsid w:val="00C9306A"/>
    <w:rsid w:val="00C93097"/>
    <w:rsid w:val="00C93C42"/>
    <w:rsid w:val="00C968A9"/>
    <w:rsid w:val="00C975EE"/>
    <w:rsid w:val="00CA2C2C"/>
    <w:rsid w:val="00CA5B36"/>
    <w:rsid w:val="00CA5C2C"/>
    <w:rsid w:val="00CA70C1"/>
    <w:rsid w:val="00CA755F"/>
    <w:rsid w:val="00CA7D4C"/>
    <w:rsid w:val="00CB012B"/>
    <w:rsid w:val="00CB0E90"/>
    <w:rsid w:val="00CB28E5"/>
    <w:rsid w:val="00CB36DD"/>
    <w:rsid w:val="00CB3FED"/>
    <w:rsid w:val="00CB41B8"/>
    <w:rsid w:val="00CB57C4"/>
    <w:rsid w:val="00CB680F"/>
    <w:rsid w:val="00CC0493"/>
    <w:rsid w:val="00CC2166"/>
    <w:rsid w:val="00CC2412"/>
    <w:rsid w:val="00CC2FCB"/>
    <w:rsid w:val="00CC36E4"/>
    <w:rsid w:val="00CC4F03"/>
    <w:rsid w:val="00CC5189"/>
    <w:rsid w:val="00CC5E47"/>
    <w:rsid w:val="00CC6F50"/>
    <w:rsid w:val="00CC7374"/>
    <w:rsid w:val="00CC7C00"/>
    <w:rsid w:val="00CD0364"/>
    <w:rsid w:val="00CD0BD3"/>
    <w:rsid w:val="00CD119A"/>
    <w:rsid w:val="00CD4D47"/>
    <w:rsid w:val="00CD51A1"/>
    <w:rsid w:val="00CD6608"/>
    <w:rsid w:val="00CD735F"/>
    <w:rsid w:val="00CE124E"/>
    <w:rsid w:val="00CE35B5"/>
    <w:rsid w:val="00CE3C44"/>
    <w:rsid w:val="00CE40E2"/>
    <w:rsid w:val="00CE445D"/>
    <w:rsid w:val="00CE49EB"/>
    <w:rsid w:val="00CE5056"/>
    <w:rsid w:val="00CE5E64"/>
    <w:rsid w:val="00CE6176"/>
    <w:rsid w:val="00CE64D7"/>
    <w:rsid w:val="00CE6771"/>
    <w:rsid w:val="00CE6A3F"/>
    <w:rsid w:val="00CF0D1D"/>
    <w:rsid w:val="00CF10BE"/>
    <w:rsid w:val="00CF1130"/>
    <w:rsid w:val="00CF187B"/>
    <w:rsid w:val="00CF2C14"/>
    <w:rsid w:val="00CF402F"/>
    <w:rsid w:val="00CF4F0F"/>
    <w:rsid w:val="00CF578F"/>
    <w:rsid w:val="00CF752C"/>
    <w:rsid w:val="00CF795D"/>
    <w:rsid w:val="00D02590"/>
    <w:rsid w:val="00D02A43"/>
    <w:rsid w:val="00D02B3F"/>
    <w:rsid w:val="00D02C5B"/>
    <w:rsid w:val="00D03651"/>
    <w:rsid w:val="00D04337"/>
    <w:rsid w:val="00D0743F"/>
    <w:rsid w:val="00D10198"/>
    <w:rsid w:val="00D10564"/>
    <w:rsid w:val="00D10F54"/>
    <w:rsid w:val="00D12058"/>
    <w:rsid w:val="00D12BD6"/>
    <w:rsid w:val="00D137ED"/>
    <w:rsid w:val="00D14935"/>
    <w:rsid w:val="00D14A4A"/>
    <w:rsid w:val="00D15152"/>
    <w:rsid w:val="00D15E4D"/>
    <w:rsid w:val="00D17352"/>
    <w:rsid w:val="00D174B4"/>
    <w:rsid w:val="00D174F5"/>
    <w:rsid w:val="00D177DA"/>
    <w:rsid w:val="00D17F03"/>
    <w:rsid w:val="00D20CDF"/>
    <w:rsid w:val="00D20D2B"/>
    <w:rsid w:val="00D218E4"/>
    <w:rsid w:val="00D2295B"/>
    <w:rsid w:val="00D23112"/>
    <w:rsid w:val="00D2631C"/>
    <w:rsid w:val="00D26768"/>
    <w:rsid w:val="00D26A99"/>
    <w:rsid w:val="00D30556"/>
    <w:rsid w:val="00D3106D"/>
    <w:rsid w:val="00D33266"/>
    <w:rsid w:val="00D3767B"/>
    <w:rsid w:val="00D37900"/>
    <w:rsid w:val="00D42184"/>
    <w:rsid w:val="00D4337D"/>
    <w:rsid w:val="00D43C77"/>
    <w:rsid w:val="00D4634C"/>
    <w:rsid w:val="00D46B4F"/>
    <w:rsid w:val="00D46D34"/>
    <w:rsid w:val="00D47AB3"/>
    <w:rsid w:val="00D50ECC"/>
    <w:rsid w:val="00D5319F"/>
    <w:rsid w:val="00D56F13"/>
    <w:rsid w:val="00D56F7B"/>
    <w:rsid w:val="00D57535"/>
    <w:rsid w:val="00D577AC"/>
    <w:rsid w:val="00D60022"/>
    <w:rsid w:val="00D6063C"/>
    <w:rsid w:val="00D60F54"/>
    <w:rsid w:val="00D610CC"/>
    <w:rsid w:val="00D64AF2"/>
    <w:rsid w:val="00D64D54"/>
    <w:rsid w:val="00D66108"/>
    <w:rsid w:val="00D66948"/>
    <w:rsid w:val="00D703CB"/>
    <w:rsid w:val="00D70BEC"/>
    <w:rsid w:val="00D72623"/>
    <w:rsid w:val="00D734CF"/>
    <w:rsid w:val="00D73822"/>
    <w:rsid w:val="00D73930"/>
    <w:rsid w:val="00D75E00"/>
    <w:rsid w:val="00D76AA5"/>
    <w:rsid w:val="00D7799E"/>
    <w:rsid w:val="00D802AD"/>
    <w:rsid w:val="00D8039B"/>
    <w:rsid w:val="00D80F1A"/>
    <w:rsid w:val="00D81B50"/>
    <w:rsid w:val="00D81C31"/>
    <w:rsid w:val="00D8282B"/>
    <w:rsid w:val="00D82AC0"/>
    <w:rsid w:val="00D860D3"/>
    <w:rsid w:val="00D9179D"/>
    <w:rsid w:val="00D947F1"/>
    <w:rsid w:val="00D96902"/>
    <w:rsid w:val="00D97386"/>
    <w:rsid w:val="00DA024B"/>
    <w:rsid w:val="00DA1926"/>
    <w:rsid w:val="00DA1D0A"/>
    <w:rsid w:val="00DA1D3C"/>
    <w:rsid w:val="00DA21C3"/>
    <w:rsid w:val="00DA2A3B"/>
    <w:rsid w:val="00DA3082"/>
    <w:rsid w:val="00DA34E6"/>
    <w:rsid w:val="00DA3897"/>
    <w:rsid w:val="00DA3D1B"/>
    <w:rsid w:val="00DA4575"/>
    <w:rsid w:val="00DA4DD5"/>
    <w:rsid w:val="00DA5193"/>
    <w:rsid w:val="00DA6835"/>
    <w:rsid w:val="00DA6E01"/>
    <w:rsid w:val="00DB0E6B"/>
    <w:rsid w:val="00DB1F55"/>
    <w:rsid w:val="00DB2295"/>
    <w:rsid w:val="00DB49CF"/>
    <w:rsid w:val="00DB5F41"/>
    <w:rsid w:val="00DC050C"/>
    <w:rsid w:val="00DC0543"/>
    <w:rsid w:val="00DC0E83"/>
    <w:rsid w:val="00DC302A"/>
    <w:rsid w:val="00DC3439"/>
    <w:rsid w:val="00DC407C"/>
    <w:rsid w:val="00DC578D"/>
    <w:rsid w:val="00DC603C"/>
    <w:rsid w:val="00DC620F"/>
    <w:rsid w:val="00DC73B0"/>
    <w:rsid w:val="00DC7517"/>
    <w:rsid w:val="00DD0735"/>
    <w:rsid w:val="00DD0990"/>
    <w:rsid w:val="00DD1876"/>
    <w:rsid w:val="00DD1DB5"/>
    <w:rsid w:val="00DD206A"/>
    <w:rsid w:val="00DD39AD"/>
    <w:rsid w:val="00DD3B69"/>
    <w:rsid w:val="00DD531D"/>
    <w:rsid w:val="00DD5BD5"/>
    <w:rsid w:val="00DD6C3D"/>
    <w:rsid w:val="00DE2CCA"/>
    <w:rsid w:val="00DE3C4E"/>
    <w:rsid w:val="00DE5BB9"/>
    <w:rsid w:val="00DF06B4"/>
    <w:rsid w:val="00DF11FA"/>
    <w:rsid w:val="00DF2F71"/>
    <w:rsid w:val="00DF30D4"/>
    <w:rsid w:val="00DF3866"/>
    <w:rsid w:val="00DF38F9"/>
    <w:rsid w:val="00DF4547"/>
    <w:rsid w:val="00DF6B74"/>
    <w:rsid w:val="00DF7631"/>
    <w:rsid w:val="00E00831"/>
    <w:rsid w:val="00E04667"/>
    <w:rsid w:val="00E0560C"/>
    <w:rsid w:val="00E05D57"/>
    <w:rsid w:val="00E06F32"/>
    <w:rsid w:val="00E07350"/>
    <w:rsid w:val="00E11771"/>
    <w:rsid w:val="00E13024"/>
    <w:rsid w:val="00E130BB"/>
    <w:rsid w:val="00E13DAF"/>
    <w:rsid w:val="00E1475A"/>
    <w:rsid w:val="00E15B40"/>
    <w:rsid w:val="00E16C35"/>
    <w:rsid w:val="00E16D84"/>
    <w:rsid w:val="00E17360"/>
    <w:rsid w:val="00E2134D"/>
    <w:rsid w:val="00E21359"/>
    <w:rsid w:val="00E21424"/>
    <w:rsid w:val="00E2177C"/>
    <w:rsid w:val="00E21F8F"/>
    <w:rsid w:val="00E22CA3"/>
    <w:rsid w:val="00E23306"/>
    <w:rsid w:val="00E243ED"/>
    <w:rsid w:val="00E257D9"/>
    <w:rsid w:val="00E273C4"/>
    <w:rsid w:val="00E2753C"/>
    <w:rsid w:val="00E27FD9"/>
    <w:rsid w:val="00E30494"/>
    <w:rsid w:val="00E3086F"/>
    <w:rsid w:val="00E30B66"/>
    <w:rsid w:val="00E3163D"/>
    <w:rsid w:val="00E32EB3"/>
    <w:rsid w:val="00E335C9"/>
    <w:rsid w:val="00E33890"/>
    <w:rsid w:val="00E33D70"/>
    <w:rsid w:val="00E33E0E"/>
    <w:rsid w:val="00E3469B"/>
    <w:rsid w:val="00E34C74"/>
    <w:rsid w:val="00E34C7F"/>
    <w:rsid w:val="00E3546A"/>
    <w:rsid w:val="00E359A3"/>
    <w:rsid w:val="00E37393"/>
    <w:rsid w:val="00E4017E"/>
    <w:rsid w:val="00E45B0C"/>
    <w:rsid w:val="00E51966"/>
    <w:rsid w:val="00E52EFA"/>
    <w:rsid w:val="00E53AAA"/>
    <w:rsid w:val="00E548E5"/>
    <w:rsid w:val="00E54B61"/>
    <w:rsid w:val="00E55390"/>
    <w:rsid w:val="00E55F89"/>
    <w:rsid w:val="00E5764C"/>
    <w:rsid w:val="00E579F4"/>
    <w:rsid w:val="00E57AE6"/>
    <w:rsid w:val="00E60913"/>
    <w:rsid w:val="00E60D5B"/>
    <w:rsid w:val="00E62528"/>
    <w:rsid w:val="00E62771"/>
    <w:rsid w:val="00E62CFE"/>
    <w:rsid w:val="00E63F14"/>
    <w:rsid w:val="00E63F31"/>
    <w:rsid w:val="00E63F4C"/>
    <w:rsid w:val="00E63F8A"/>
    <w:rsid w:val="00E64542"/>
    <w:rsid w:val="00E64D73"/>
    <w:rsid w:val="00E65D66"/>
    <w:rsid w:val="00E671F5"/>
    <w:rsid w:val="00E67A2B"/>
    <w:rsid w:val="00E721D4"/>
    <w:rsid w:val="00E731BF"/>
    <w:rsid w:val="00E73D42"/>
    <w:rsid w:val="00E73DF9"/>
    <w:rsid w:val="00E7470D"/>
    <w:rsid w:val="00E76B0F"/>
    <w:rsid w:val="00E77706"/>
    <w:rsid w:val="00E80A66"/>
    <w:rsid w:val="00E80D5F"/>
    <w:rsid w:val="00E80FDF"/>
    <w:rsid w:val="00E81093"/>
    <w:rsid w:val="00E8130D"/>
    <w:rsid w:val="00E83379"/>
    <w:rsid w:val="00E83F76"/>
    <w:rsid w:val="00E84EE9"/>
    <w:rsid w:val="00E8548B"/>
    <w:rsid w:val="00E861D7"/>
    <w:rsid w:val="00E86A3F"/>
    <w:rsid w:val="00E86E68"/>
    <w:rsid w:val="00E86F6C"/>
    <w:rsid w:val="00E87EC0"/>
    <w:rsid w:val="00E90D59"/>
    <w:rsid w:val="00E912E7"/>
    <w:rsid w:val="00E92042"/>
    <w:rsid w:val="00E9393D"/>
    <w:rsid w:val="00E9551D"/>
    <w:rsid w:val="00E95C7C"/>
    <w:rsid w:val="00EA0CFF"/>
    <w:rsid w:val="00EA14F4"/>
    <w:rsid w:val="00EA4955"/>
    <w:rsid w:val="00EA55AC"/>
    <w:rsid w:val="00EA5877"/>
    <w:rsid w:val="00EA74DC"/>
    <w:rsid w:val="00EA7B77"/>
    <w:rsid w:val="00EB2074"/>
    <w:rsid w:val="00EB3570"/>
    <w:rsid w:val="00EB63E9"/>
    <w:rsid w:val="00EB7920"/>
    <w:rsid w:val="00EB7973"/>
    <w:rsid w:val="00EC075C"/>
    <w:rsid w:val="00EC12CF"/>
    <w:rsid w:val="00EC1386"/>
    <w:rsid w:val="00EC149F"/>
    <w:rsid w:val="00EC3038"/>
    <w:rsid w:val="00EC374A"/>
    <w:rsid w:val="00EC3ED8"/>
    <w:rsid w:val="00EC5478"/>
    <w:rsid w:val="00EC62B0"/>
    <w:rsid w:val="00EC6EE1"/>
    <w:rsid w:val="00EC770B"/>
    <w:rsid w:val="00EC7AB1"/>
    <w:rsid w:val="00ED0B36"/>
    <w:rsid w:val="00ED0BC5"/>
    <w:rsid w:val="00ED15F5"/>
    <w:rsid w:val="00ED1D58"/>
    <w:rsid w:val="00ED21CB"/>
    <w:rsid w:val="00ED2D9A"/>
    <w:rsid w:val="00ED4D2E"/>
    <w:rsid w:val="00ED59CA"/>
    <w:rsid w:val="00ED6EA8"/>
    <w:rsid w:val="00ED701F"/>
    <w:rsid w:val="00EE10AF"/>
    <w:rsid w:val="00EE20D9"/>
    <w:rsid w:val="00EE4194"/>
    <w:rsid w:val="00EE553C"/>
    <w:rsid w:val="00EE6CE0"/>
    <w:rsid w:val="00EE71DF"/>
    <w:rsid w:val="00EE78B5"/>
    <w:rsid w:val="00EE7A73"/>
    <w:rsid w:val="00EF0D5F"/>
    <w:rsid w:val="00EF1562"/>
    <w:rsid w:val="00EF1627"/>
    <w:rsid w:val="00EF184E"/>
    <w:rsid w:val="00EF187B"/>
    <w:rsid w:val="00EF22C9"/>
    <w:rsid w:val="00EF289E"/>
    <w:rsid w:val="00EF2C9A"/>
    <w:rsid w:val="00EF39C7"/>
    <w:rsid w:val="00F02C74"/>
    <w:rsid w:val="00F036B9"/>
    <w:rsid w:val="00F04A29"/>
    <w:rsid w:val="00F06293"/>
    <w:rsid w:val="00F0778B"/>
    <w:rsid w:val="00F07E0D"/>
    <w:rsid w:val="00F07F4E"/>
    <w:rsid w:val="00F11AB9"/>
    <w:rsid w:val="00F12894"/>
    <w:rsid w:val="00F12D11"/>
    <w:rsid w:val="00F13E47"/>
    <w:rsid w:val="00F15825"/>
    <w:rsid w:val="00F1614F"/>
    <w:rsid w:val="00F167B8"/>
    <w:rsid w:val="00F2029E"/>
    <w:rsid w:val="00F20919"/>
    <w:rsid w:val="00F20EE8"/>
    <w:rsid w:val="00F23706"/>
    <w:rsid w:val="00F23D1F"/>
    <w:rsid w:val="00F23F1B"/>
    <w:rsid w:val="00F2433B"/>
    <w:rsid w:val="00F246D7"/>
    <w:rsid w:val="00F25282"/>
    <w:rsid w:val="00F26E83"/>
    <w:rsid w:val="00F2767A"/>
    <w:rsid w:val="00F33FB4"/>
    <w:rsid w:val="00F34751"/>
    <w:rsid w:val="00F35666"/>
    <w:rsid w:val="00F35A4C"/>
    <w:rsid w:val="00F36B08"/>
    <w:rsid w:val="00F40176"/>
    <w:rsid w:val="00F41EB6"/>
    <w:rsid w:val="00F43379"/>
    <w:rsid w:val="00F4369C"/>
    <w:rsid w:val="00F43D08"/>
    <w:rsid w:val="00F45AFB"/>
    <w:rsid w:val="00F45D6B"/>
    <w:rsid w:val="00F51377"/>
    <w:rsid w:val="00F513D7"/>
    <w:rsid w:val="00F5227D"/>
    <w:rsid w:val="00F5302B"/>
    <w:rsid w:val="00F53844"/>
    <w:rsid w:val="00F53BA6"/>
    <w:rsid w:val="00F53CE1"/>
    <w:rsid w:val="00F549C7"/>
    <w:rsid w:val="00F55343"/>
    <w:rsid w:val="00F60888"/>
    <w:rsid w:val="00F609B3"/>
    <w:rsid w:val="00F60EC4"/>
    <w:rsid w:val="00F625EE"/>
    <w:rsid w:val="00F62963"/>
    <w:rsid w:val="00F640E0"/>
    <w:rsid w:val="00F640E5"/>
    <w:rsid w:val="00F64722"/>
    <w:rsid w:val="00F64E26"/>
    <w:rsid w:val="00F65ACA"/>
    <w:rsid w:val="00F67727"/>
    <w:rsid w:val="00F70E6A"/>
    <w:rsid w:val="00F714FB"/>
    <w:rsid w:val="00F718BC"/>
    <w:rsid w:val="00F7289E"/>
    <w:rsid w:val="00F73C15"/>
    <w:rsid w:val="00F741EE"/>
    <w:rsid w:val="00F74228"/>
    <w:rsid w:val="00F75AC4"/>
    <w:rsid w:val="00F76A76"/>
    <w:rsid w:val="00F76BBB"/>
    <w:rsid w:val="00F76F6B"/>
    <w:rsid w:val="00F779E6"/>
    <w:rsid w:val="00F77DE7"/>
    <w:rsid w:val="00F801A9"/>
    <w:rsid w:val="00F80E9F"/>
    <w:rsid w:val="00F81395"/>
    <w:rsid w:val="00F81C27"/>
    <w:rsid w:val="00F8381D"/>
    <w:rsid w:val="00F83B0C"/>
    <w:rsid w:val="00F83B29"/>
    <w:rsid w:val="00F84F5F"/>
    <w:rsid w:val="00F8619B"/>
    <w:rsid w:val="00F909C8"/>
    <w:rsid w:val="00F92505"/>
    <w:rsid w:val="00F92EC8"/>
    <w:rsid w:val="00F93094"/>
    <w:rsid w:val="00F9400D"/>
    <w:rsid w:val="00F94C95"/>
    <w:rsid w:val="00F95126"/>
    <w:rsid w:val="00F95D2E"/>
    <w:rsid w:val="00F9651A"/>
    <w:rsid w:val="00F96918"/>
    <w:rsid w:val="00F96F95"/>
    <w:rsid w:val="00F97F45"/>
    <w:rsid w:val="00FA185B"/>
    <w:rsid w:val="00FA22E7"/>
    <w:rsid w:val="00FA2537"/>
    <w:rsid w:val="00FA2F71"/>
    <w:rsid w:val="00FA504E"/>
    <w:rsid w:val="00FA53EC"/>
    <w:rsid w:val="00FA54C4"/>
    <w:rsid w:val="00FA5C62"/>
    <w:rsid w:val="00FB0159"/>
    <w:rsid w:val="00FB11C5"/>
    <w:rsid w:val="00FB1A4E"/>
    <w:rsid w:val="00FB360F"/>
    <w:rsid w:val="00FB37A4"/>
    <w:rsid w:val="00FB3DF0"/>
    <w:rsid w:val="00FB4974"/>
    <w:rsid w:val="00FB5869"/>
    <w:rsid w:val="00FB5993"/>
    <w:rsid w:val="00FB5DBC"/>
    <w:rsid w:val="00FB5F01"/>
    <w:rsid w:val="00FB74C1"/>
    <w:rsid w:val="00FB7799"/>
    <w:rsid w:val="00FC06F3"/>
    <w:rsid w:val="00FC1835"/>
    <w:rsid w:val="00FC1DB1"/>
    <w:rsid w:val="00FC1EDE"/>
    <w:rsid w:val="00FC40FD"/>
    <w:rsid w:val="00FC45E9"/>
    <w:rsid w:val="00FC4A00"/>
    <w:rsid w:val="00FC4AC2"/>
    <w:rsid w:val="00FC5857"/>
    <w:rsid w:val="00FC5B32"/>
    <w:rsid w:val="00FC63EC"/>
    <w:rsid w:val="00FC72A9"/>
    <w:rsid w:val="00FC7793"/>
    <w:rsid w:val="00FC7F45"/>
    <w:rsid w:val="00FD03E5"/>
    <w:rsid w:val="00FD0536"/>
    <w:rsid w:val="00FD084A"/>
    <w:rsid w:val="00FD2AE0"/>
    <w:rsid w:val="00FD3086"/>
    <w:rsid w:val="00FD4B7E"/>
    <w:rsid w:val="00FD6F74"/>
    <w:rsid w:val="00FD7835"/>
    <w:rsid w:val="00FE0594"/>
    <w:rsid w:val="00FE0876"/>
    <w:rsid w:val="00FE0DE4"/>
    <w:rsid w:val="00FE1739"/>
    <w:rsid w:val="00FE2A71"/>
    <w:rsid w:val="00FE5D9D"/>
    <w:rsid w:val="00FE609E"/>
    <w:rsid w:val="00FE621A"/>
    <w:rsid w:val="00FE689A"/>
    <w:rsid w:val="00FE7800"/>
    <w:rsid w:val="00FE7A54"/>
    <w:rsid w:val="00FE7AB9"/>
    <w:rsid w:val="00FE7F1E"/>
    <w:rsid w:val="00FF099E"/>
    <w:rsid w:val="00FF0A40"/>
    <w:rsid w:val="00FF188B"/>
    <w:rsid w:val="00FF36D1"/>
    <w:rsid w:val="00FF565D"/>
    <w:rsid w:val="00FF5AC3"/>
    <w:rsid w:val="00FF6CB7"/>
    <w:rsid w:val="00FF6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8D"/>
  </w:style>
  <w:style w:type="paragraph" w:styleId="2">
    <w:name w:val="heading 2"/>
    <w:basedOn w:val="a"/>
    <w:next w:val="a"/>
    <w:link w:val="20"/>
    <w:uiPriority w:val="9"/>
    <w:unhideWhenUsed/>
    <w:qFormat/>
    <w:rsid w:val="00682E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9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2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2DC"/>
  </w:style>
  <w:style w:type="paragraph" w:styleId="a8">
    <w:name w:val="footer"/>
    <w:basedOn w:val="a"/>
    <w:link w:val="a9"/>
    <w:uiPriority w:val="99"/>
    <w:semiHidden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32DC"/>
  </w:style>
  <w:style w:type="paragraph" w:customStyle="1" w:styleId="ConsPlusNormal">
    <w:name w:val="ConsPlusNormal"/>
    <w:rsid w:val="00BD2D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caption"/>
    <w:basedOn w:val="a"/>
    <w:next w:val="a"/>
    <w:uiPriority w:val="35"/>
    <w:unhideWhenUsed/>
    <w:qFormat/>
    <w:rsid w:val="001F634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29287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9287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92879"/>
    <w:rPr>
      <w:vertAlign w:val="superscript"/>
    </w:rPr>
  </w:style>
  <w:style w:type="paragraph" w:styleId="ae">
    <w:name w:val="Body Text"/>
    <w:basedOn w:val="a"/>
    <w:link w:val="af"/>
    <w:uiPriority w:val="99"/>
    <w:unhideWhenUsed/>
    <w:rsid w:val="0032676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32676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A2B39"/>
  </w:style>
  <w:style w:type="paragraph" w:customStyle="1" w:styleId="s4">
    <w:name w:val="s4"/>
    <w:basedOn w:val="a"/>
    <w:rsid w:val="00A130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82E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2E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9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2B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2DC"/>
  </w:style>
  <w:style w:type="paragraph" w:styleId="a8">
    <w:name w:val="footer"/>
    <w:basedOn w:val="a"/>
    <w:link w:val="a9"/>
    <w:uiPriority w:val="99"/>
    <w:semiHidden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32DC"/>
  </w:style>
  <w:style w:type="paragraph" w:customStyle="1" w:styleId="ConsPlusNormal">
    <w:name w:val="ConsPlusNormal"/>
    <w:rsid w:val="00BD2D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caption"/>
    <w:basedOn w:val="a"/>
    <w:next w:val="a"/>
    <w:uiPriority w:val="35"/>
    <w:unhideWhenUsed/>
    <w:qFormat/>
    <w:rsid w:val="001F634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29287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9287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92879"/>
    <w:rPr>
      <w:vertAlign w:val="superscript"/>
    </w:rPr>
  </w:style>
  <w:style w:type="paragraph" w:styleId="ae">
    <w:name w:val="Body Text"/>
    <w:basedOn w:val="a"/>
    <w:link w:val="af"/>
    <w:uiPriority w:val="99"/>
    <w:unhideWhenUsed/>
    <w:rsid w:val="0032676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32676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A2B39"/>
  </w:style>
  <w:style w:type="paragraph" w:customStyle="1" w:styleId="s4">
    <w:name w:val="s4"/>
    <w:basedOn w:val="a"/>
    <w:rsid w:val="00A130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82E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rotY val="27"/>
      <c:perspective val="30"/>
    </c:view3D>
    <c:plotArea>
      <c:layout>
        <c:manualLayout>
          <c:layoutTarget val="inner"/>
          <c:xMode val="edge"/>
          <c:yMode val="edge"/>
          <c:x val="4.128294415803629E-6"/>
          <c:y val="3.9920444727017834E-2"/>
          <c:w val="0.66485225161462536"/>
          <c:h val="0.935558924699629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explosion val="23"/>
            <c:spPr>
              <a:solidFill>
                <a:srgbClr val="00B0F0"/>
              </a:solidFill>
            </c:spPr>
          </c:dPt>
          <c:dPt>
            <c:idx val="1"/>
            <c:explosion val="10"/>
            <c:spPr>
              <a:solidFill>
                <a:srgbClr val="FF6600"/>
              </a:solidFill>
            </c:spPr>
          </c:dPt>
          <c:dPt>
            <c:idx val="2"/>
            <c:explosion val="12"/>
            <c:spPr>
              <a:solidFill>
                <a:srgbClr val="33CC33"/>
              </a:solidFill>
            </c:spPr>
          </c:dPt>
          <c:dPt>
            <c:idx val="3"/>
            <c:explosion val="15"/>
            <c:spPr>
              <a:solidFill>
                <a:srgbClr val="9933FF"/>
              </a:solidFill>
            </c:spPr>
          </c:dPt>
          <c:dPt>
            <c:idx val="4"/>
            <c:explosion val="75"/>
          </c:dPt>
          <c:dLbls>
            <c:dLbl>
              <c:idx val="0"/>
              <c:layout>
                <c:manualLayout>
                  <c:x val="-0.20608909139166623"/>
                  <c:y val="-0.5899506040005873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itchFamily="18" charset="0"/>
                        <a:cs typeface="Times New Roman" pitchFamily="18" charset="0"/>
                      </a:rPr>
                      <a:t>15 %</a:t>
                    </a:r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1"/>
              <c:layout>
                <c:manualLayout>
                  <c:x val="5.8671909993745731E-3"/>
                  <c:y val="-2.9546106920917255E-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itchFamily="18" charset="0"/>
                        <a:cs typeface="Times New Roman" pitchFamily="18" charset="0"/>
                      </a:rPr>
                      <a:t>21 %</a:t>
                    </a:r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2"/>
              <c:layout>
                <c:manualLayout>
                  <c:x val="9.8275531569789742E-2"/>
                  <c:y val="-2.0395820087706441E-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itchFamily="18" charset="0"/>
                        <a:cs typeface="Times New Roman" pitchFamily="18" charset="0"/>
                      </a:rPr>
                      <a:t>1,1 %</a:t>
                    </a:r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3"/>
              <c:layout>
                <c:manualLayout>
                  <c:x val="7.6905849232918683E-2"/>
                  <c:y val="0.51184362845990028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itchFamily="18" charset="0"/>
                        <a:cs typeface="Times New Roman" pitchFamily="18" charset="0"/>
                      </a:rPr>
                      <a:t>62,9 %</a:t>
                    </a:r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dLbl>
              <c:idx val="4"/>
              <c:layout>
                <c:manualLayout>
                  <c:x val="7.6907310743460468E-3"/>
                  <c:y val="7.0008966270520528E-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itchFamily="18" charset="0"/>
                        <a:cs typeface="Times New Roman" pitchFamily="18" charset="0"/>
                      </a:rPr>
                      <a:t>0,001 %</a:t>
                    </a:r>
                    <a:endParaRPr lang="en-US" sz="10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Val val="1"/>
            </c:dLbl>
            <c:showVal val="1"/>
          </c:dLbls>
          <c:cat>
            <c:strRef>
              <c:f>Лист1!$A$2:$A$6</c:f>
              <c:strCache>
                <c:ptCount val="5"/>
                <c:pt idx="0">
                  <c:v>налог, взимаемый в связи с применением УСН</c:v>
                </c:pt>
                <c:pt idx="1">
                  <c:v>налог на имущество организаций</c:v>
                </c:pt>
                <c:pt idx="2">
                  <c:v>налог на прибыль организаций</c:v>
                </c:pt>
                <c:pt idx="3">
                  <c:v>транспортный налог</c:v>
                </c:pt>
                <c:pt idx="4">
                  <c:v>налог, взимаемый в связи с применением ПСН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62.9</c:v>
                </c:pt>
                <c:pt idx="1">
                  <c:v>21</c:v>
                </c:pt>
                <c:pt idx="2">
                  <c:v>15</c:v>
                </c:pt>
                <c:pt idx="3">
                  <c:v>1.1000000000000001</c:v>
                </c:pt>
                <c:pt idx="4">
                  <c:v>1.0000000000000002E-3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6860662101755974"/>
          <c:y val="5.7971014492753624E-2"/>
          <c:w val="0.31641356781652613"/>
          <c:h val="0.76540847900904563"/>
        </c:manualLayout>
      </c:layout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4DEE-6483-4E6E-AA51-924F7502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Емелина</dc:creator>
  <cp:lastModifiedBy>Емелина И.Г.</cp:lastModifiedBy>
  <cp:revision>2</cp:revision>
  <cp:lastPrinted>2023-08-31T08:59:00Z</cp:lastPrinted>
  <dcterms:created xsi:type="dcterms:W3CDTF">2023-09-01T08:05:00Z</dcterms:created>
  <dcterms:modified xsi:type="dcterms:W3CDTF">2023-09-01T08:05:00Z</dcterms:modified>
</cp:coreProperties>
</file>